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drawings/drawing3.xml" ContentType="application/vnd.openxmlformats-officedocument.drawingml.chartshapes+xml"/>
  <Override PartName="/word/charts/chart4.xml" ContentType="application/vnd.openxmlformats-officedocument.drawingml.chart+xml"/>
  <Override PartName="/word/theme/themeOverride4.xml" ContentType="application/vnd.openxmlformats-officedocument.themeOverride+xml"/>
  <Override PartName="/word/drawings/drawing4.xml" ContentType="application/vnd.openxmlformats-officedocument.drawingml.chartshapes+xml"/>
  <Override PartName="/word/charts/chart5.xml" ContentType="application/vnd.openxmlformats-officedocument.drawingml.chart+xml"/>
  <Override PartName="/word/theme/themeOverride5.xml" ContentType="application/vnd.openxmlformats-officedocument.themeOverride+xml"/>
  <Override PartName="/word/drawings/drawing5.xml" ContentType="application/vnd.openxmlformats-officedocument.drawingml.chartshapes+xml"/>
  <Override PartName="/word/charts/chart6.xml" ContentType="application/vnd.openxmlformats-officedocument.drawingml.chart+xml"/>
  <Override PartName="/word/theme/themeOverride6.xml" ContentType="application/vnd.openxmlformats-officedocument.themeOverride+xml"/>
  <Override PartName="/word/drawings/drawing6.xml" ContentType="application/vnd.openxmlformats-officedocument.drawingml.chartshapes+xml"/>
  <Override PartName="/word/charts/chart7.xml" ContentType="application/vnd.openxmlformats-officedocument.drawingml.chart+xml"/>
  <Override PartName="/word/theme/themeOverride7.xml" ContentType="application/vnd.openxmlformats-officedocument.themeOverride+xml"/>
  <Override PartName="/word/drawings/drawing7.xml" ContentType="application/vnd.openxmlformats-officedocument.drawingml.chartshapes+xml"/>
  <Override PartName="/word/charts/chart8.xml" ContentType="application/vnd.openxmlformats-officedocument.drawingml.chart+xml"/>
  <Override PartName="/word/theme/themeOverride8.xml" ContentType="application/vnd.openxmlformats-officedocument.themeOverride+xml"/>
  <Override PartName="/word/drawings/drawing8.xml" ContentType="application/vnd.openxmlformats-officedocument.drawingml.chartshapes+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098094845"/>
        <w:docPartObj>
          <w:docPartGallery w:val="Cover Pages"/>
          <w:docPartUnique/>
        </w:docPartObj>
      </w:sdtPr>
      <w:sdtEndPr>
        <w:rPr>
          <w:rFonts w:cstheme="minorHAnsi"/>
          <w:b/>
        </w:rPr>
      </w:sdtEndPr>
      <w:sdtContent>
        <w:p w:rsidR="00F366F6" w:rsidRDefault="00F366F6"/>
        <w:p w:rsidR="00F366F6" w:rsidRDefault="00F366F6"/>
        <w:p w:rsidR="00F366F6" w:rsidRDefault="00F366F6"/>
        <w:tbl>
          <w:tblPr>
            <w:tblpPr w:leftFromText="187" w:rightFromText="187" w:vertAnchor="page" w:horzAnchor="margin" w:tblpXSpec="center" w:tblpY="6397"/>
            <w:tblW w:w="4406" w:type="pct"/>
            <w:tblBorders>
              <w:left w:val="single" w:sz="18" w:space="0" w:color="AD0101" w:themeColor="accent1"/>
            </w:tblBorders>
            <w:tblLook w:val="04A0" w:firstRow="1" w:lastRow="0" w:firstColumn="1" w:lastColumn="0" w:noHBand="0" w:noVBand="1"/>
          </w:tblPr>
          <w:tblGrid>
            <w:gridCol w:w="8632"/>
          </w:tblGrid>
          <w:tr w:rsidR="00F366F6" w:rsidTr="005851C7">
            <w:trPr>
              <w:trHeight w:val="1800"/>
            </w:trPr>
            <w:tc>
              <w:tcPr>
                <w:tcW w:w="8632" w:type="dxa"/>
              </w:tcPr>
              <w:p w:rsidR="00F366F6" w:rsidRPr="00F366F6" w:rsidRDefault="00D60D7F" w:rsidP="00F366F6">
                <w:pPr>
                  <w:pStyle w:val="NoSpacing"/>
                  <w:rPr>
                    <w:rFonts w:asciiTheme="majorHAnsi" w:eastAsiaTheme="majorEastAsia" w:hAnsiTheme="majorHAnsi" w:cstheme="majorBidi"/>
                    <w:b/>
                    <w:color w:val="AD0101" w:themeColor="accent1"/>
                    <w:sz w:val="80"/>
                    <w:szCs w:val="80"/>
                  </w:rPr>
                </w:pPr>
                <w:sdt>
                  <w:sdtPr>
                    <w:rPr>
                      <w:rFonts w:asciiTheme="majorHAnsi" w:eastAsiaTheme="majorEastAsia" w:hAnsiTheme="majorHAnsi" w:cstheme="majorBidi"/>
                      <w:b/>
                      <w:color w:val="AD0101" w:themeColor="accent1"/>
                      <w:sz w:val="72"/>
                      <w:szCs w:val="80"/>
                    </w:rPr>
                    <w:alias w:val="Title"/>
                    <w:id w:val="13406919"/>
                    <w:dataBinding w:prefixMappings="xmlns:ns0='http://schemas.openxmlformats.org/package/2006/metadata/core-properties' xmlns:ns1='http://purl.org/dc/elements/1.1/'" w:xpath="/ns0:coreProperties[1]/ns1:title[1]" w:storeItemID="{6C3C8BC8-F283-45AE-878A-BAB7291924A1}"/>
                    <w:text/>
                  </w:sdtPr>
                  <w:sdtEndPr/>
                  <w:sdtContent>
                    <w:r w:rsidR="0025460E">
                      <w:rPr>
                        <w:rFonts w:asciiTheme="majorHAnsi" w:eastAsiaTheme="majorEastAsia" w:hAnsiTheme="majorHAnsi" w:cstheme="majorBidi"/>
                        <w:b/>
                        <w:color w:val="AD0101" w:themeColor="accent1"/>
                        <w:sz w:val="72"/>
                        <w:szCs w:val="80"/>
                      </w:rPr>
                      <w:t>Annual Progress Report 2015</w:t>
                    </w:r>
                  </w:sdtContent>
                </w:sdt>
              </w:p>
            </w:tc>
          </w:tr>
          <w:tr w:rsidR="00F366F6" w:rsidTr="00F366F6">
            <w:sdt>
              <w:sdtPr>
                <w:rPr>
                  <w:rFonts w:asciiTheme="majorHAnsi" w:eastAsiaTheme="majorEastAsia" w:hAnsiTheme="majorHAnsi" w:cstheme="majorBidi"/>
                  <w:b/>
                  <w:i/>
                  <w:sz w:val="28"/>
                </w:rPr>
                <w:alias w:val="Subtitle"/>
                <w:id w:val="13406923"/>
                <w:dataBinding w:prefixMappings="xmlns:ns0='http://schemas.openxmlformats.org/package/2006/metadata/core-properties' xmlns:ns1='http://purl.org/dc/elements/1.1/'" w:xpath="/ns0:coreProperties[1]/ns1:subject[1]" w:storeItemID="{6C3C8BC8-F283-45AE-878A-BAB7291924A1}"/>
                <w:text/>
              </w:sdtPr>
              <w:sdtEndPr/>
              <w:sdtContent>
                <w:tc>
                  <w:tcPr>
                    <w:tcW w:w="8632" w:type="dxa"/>
                    <w:tcMar>
                      <w:top w:w="216" w:type="dxa"/>
                      <w:left w:w="115" w:type="dxa"/>
                      <w:bottom w:w="216" w:type="dxa"/>
                      <w:right w:w="115" w:type="dxa"/>
                    </w:tcMar>
                  </w:tcPr>
                  <w:p w:rsidR="00F366F6" w:rsidRPr="00F366F6" w:rsidRDefault="0025460E" w:rsidP="00F366F6">
                    <w:pPr>
                      <w:pStyle w:val="NoSpacing"/>
                      <w:rPr>
                        <w:rFonts w:asciiTheme="majorHAnsi" w:eastAsiaTheme="majorEastAsia" w:hAnsiTheme="majorHAnsi" w:cstheme="majorBidi"/>
                        <w:i/>
                      </w:rPr>
                    </w:pPr>
                    <w:r>
                      <w:rPr>
                        <w:rFonts w:asciiTheme="majorHAnsi" w:eastAsiaTheme="majorEastAsia" w:hAnsiTheme="majorHAnsi" w:cstheme="majorBidi"/>
                        <w:b/>
                        <w:i/>
                        <w:sz w:val="28"/>
                      </w:rPr>
                      <w:t>Progress review: Making a difference</w:t>
                    </w:r>
                  </w:p>
                </w:tc>
              </w:sdtContent>
            </w:sdt>
          </w:tr>
        </w:tbl>
        <w:p w:rsidR="00F366F6" w:rsidRDefault="00F366F6">
          <w:pPr>
            <w:rPr>
              <w:rFonts w:eastAsiaTheme="majorEastAsia" w:cstheme="minorHAnsi"/>
              <w:b/>
              <w:color w:val="232323" w:themeColor="text2" w:themeShade="BF"/>
              <w:spacing w:val="5"/>
              <w:kern w:val="28"/>
            </w:rPr>
          </w:pPr>
          <w:r>
            <w:rPr>
              <w:noProof/>
            </w:rPr>
            <w:drawing>
              <wp:anchor distT="0" distB="0" distL="114300" distR="114300" simplePos="0" relativeHeight="251658240" behindDoc="0" locked="0" layoutInCell="1" allowOverlap="1" wp14:anchorId="36F7889B" wp14:editId="51407C86">
                <wp:simplePos x="0" y="0"/>
                <wp:positionH relativeFrom="column">
                  <wp:posOffset>327660</wp:posOffset>
                </wp:positionH>
                <wp:positionV relativeFrom="paragraph">
                  <wp:posOffset>746125</wp:posOffset>
                </wp:positionV>
                <wp:extent cx="5247005" cy="1023620"/>
                <wp:effectExtent l="0" t="0" r="0" b="5080"/>
                <wp:wrapSquare wrapText="bothSides"/>
                <wp:docPr id="1" name="Picture 1" descr="NewLogolockup2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NewLogolockup201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47005" cy="10236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theme="minorHAnsi"/>
              <w:b/>
            </w:rPr>
            <w:t xml:space="preserve"> </w:t>
          </w:r>
          <w:r>
            <w:rPr>
              <w:rFonts w:cstheme="minorHAnsi"/>
              <w:b/>
            </w:rPr>
            <w:br w:type="page"/>
          </w:r>
        </w:p>
      </w:sdtContent>
    </w:sdt>
    <w:p w:rsidR="005F306A" w:rsidRPr="008017BB" w:rsidRDefault="004F6CFD" w:rsidP="00C210CA">
      <w:pPr>
        <w:spacing w:line="240" w:lineRule="auto"/>
        <w:jc w:val="both"/>
        <w:rPr>
          <w:rStyle w:val="IntenseEmphasis"/>
          <w:rFonts w:cstheme="minorHAnsi"/>
          <w:color w:val="auto"/>
        </w:rPr>
      </w:pPr>
      <w:r w:rsidRPr="008017BB">
        <w:rPr>
          <w:rStyle w:val="IntenseEmphasis"/>
          <w:rFonts w:cstheme="minorHAnsi"/>
          <w:color w:val="auto"/>
        </w:rPr>
        <w:lastRenderedPageBreak/>
        <w:t>Overview:</w:t>
      </w:r>
    </w:p>
    <w:p w:rsidR="005F306A" w:rsidRPr="008017BB" w:rsidRDefault="006E0C30" w:rsidP="00C210CA">
      <w:pPr>
        <w:spacing w:line="240" w:lineRule="auto"/>
        <w:jc w:val="both"/>
        <w:rPr>
          <w:rStyle w:val="IntenseEmphasis"/>
          <w:rFonts w:cstheme="minorHAnsi"/>
          <w:b w:val="0"/>
          <w:i w:val="0"/>
          <w:color w:val="auto"/>
        </w:rPr>
      </w:pPr>
      <w:r w:rsidRPr="008017BB">
        <w:rPr>
          <w:rStyle w:val="IntenseEmphasis"/>
          <w:rFonts w:cstheme="minorHAnsi"/>
          <w:b w:val="0"/>
          <w:i w:val="0"/>
          <w:color w:val="auto"/>
        </w:rPr>
        <w:t>H</w:t>
      </w:r>
      <w:r w:rsidR="005F306A" w:rsidRPr="008017BB">
        <w:rPr>
          <w:rStyle w:val="IntenseEmphasis"/>
          <w:rFonts w:cstheme="minorHAnsi"/>
          <w:b w:val="0"/>
          <w:i w:val="0"/>
          <w:color w:val="auto"/>
        </w:rPr>
        <w:t xml:space="preserve">uman rights, </w:t>
      </w:r>
      <w:r w:rsidRPr="008017BB">
        <w:rPr>
          <w:rStyle w:val="IntenseEmphasis"/>
          <w:rFonts w:cstheme="minorHAnsi"/>
          <w:b w:val="0"/>
          <w:i w:val="0"/>
          <w:color w:val="auto"/>
        </w:rPr>
        <w:t xml:space="preserve">good </w:t>
      </w:r>
      <w:r w:rsidR="005F306A" w:rsidRPr="008017BB">
        <w:rPr>
          <w:rStyle w:val="IntenseEmphasis"/>
          <w:rFonts w:cstheme="minorHAnsi"/>
          <w:b w:val="0"/>
          <w:i w:val="0"/>
          <w:color w:val="auto"/>
        </w:rPr>
        <w:t xml:space="preserve">democratic governance and </w:t>
      </w:r>
      <w:r w:rsidRPr="008017BB">
        <w:rPr>
          <w:rStyle w:val="IntenseEmphasis"/>
          <w:rFonts w:cstheme="minorHAnsi"/>
          <w:b w:val="0"/>
          <w:i w:val="0"/>
          <w:color w:val="auto"/>
        </w:rPr>
        <w:t xml:space="preserve">the </w:t>
      </w:r>
      <w:r w:rsidR="005F306A" w:rsidRPr="008017BB">
        <w:rPr>
          <w:rStyle w:val="IntenseEmphasis"/>
          <w:rFonts w:cstheme="minorHAnsi"/>
          <w:b w:val="0"/>
          <w:i w:val="0"/>
          <w:color w:val="auto"/>
        </w:rPr>
        <w:t>rule of law were predominantly under siege in 2015</w:t>
      </w:r>
      <w:r w:rsidRPr="008017BB">
        <w:rPr>
          <w:rStyle w:val="IntenseEmphasis"/>
          <w:rFonts w:cstheme="minorHAnsi"/>
          <w:b w:val="0"/>
          <w:i w:val="0"/>
          <w:color w:val="auto"/>
        </w:rPr>
        <w:t xml:space="preserve"> in eas</w:t>
      </w:r>
      <w:r w:rsidR="00960AEF" w:rsidRPr="008017BB">
        <w:rPr>
          <w:rStyle w:val="IntenseEmphasis"/>
          <w:rFonts w:cstheme="minorHAnsi"/>
          <w:b w:val="0"/>
          <w:i w:val="0"/>
          <w:color w:val="auto"/>
        </w:rPr>
        <w:t>tern A</w:t>
      </w:r>
      <w:r w:rsidRPr="008017BB">
        <w:rPr>
          <w:rStyle w:val="IntenseEmphasis"/>
          <w:rFonts w:cstheme="minorHAnsi"/>
          <w:b w:val="0"/>
          <w:i w:val="0"/>
          <w:color w:val="auto"/>
        </w:rPr>
        <w:t>frica</w:t>
      </w:r>
      <w:r w:rsidR="005F306A" w:rsidRPr="008017BB">
        <w:rPr>
          <w:rStyle w:val="IntenseEmphasis"/>
          <w:rFonts w:cstheme="minorHAnsi"/>
          <w:b w:val="0"/>
          <w:i w:val="0"/>
          <w:color w:val="auto"/>
        </w:rPr>
        <w:t xml:space="preserve">. Closing spaces were a constant theme across the region: </w:t>
      </w:r>
      <w:r w:rsidR="00F23D11" w:rsidRPr="008017BB">
        <w:rPr>
          <w:rStyle w:val="IntenseEmphasis"/>
          <w:rFonts w:cstheme="minorHAnsi"/>
          <w:b w:val="0"/>
          <w:i w:val="0"/>
          <w:color w:val="auto"/>
        </w:rPr>
        <w:t xml:space="preserve">sometimes the methods to achieve these were similar while on other occasions, they </w:t>
      </w:r>
      <w:r w:rsidR="005F306A" w:rsidRPr="008017BB">
        <w:rPr>
          <w:rStyle w:val="IntenseEmphasis"/>
          <w:rFonts w:cstheme="minorHAnsi"/>
          <w:b w:val="0"/>
          <w:i w:val="0"/>
          <w:color w:val="auto"/>
        </w:rPr>
        <w:t>differe</w:t>
      </w:r>
      <w:r w:rsidR="00F23D11" w:rsidRPr="008017BB">
        <w:rPr>
          <w:rStyle w:val="IntenseEmphasis"/>
          <w:rFonts w:cstheme="minorHAnsi"/>
          <w:b w:val="0"/>
          <w:i w:val="0"/>
          <w:color w:val="auto"/>
        </w:rPr>
        <w:t xml:space="preserve">d according to specific </w:t>
      </w:r>
      <w:r w:rsidR="00444511">
        <w:rPr>
          <w:rStyle w:val="IntenseEmphasis"/>
          <w:rFonts w:cstheme="minorHAnsi"/>
          <w:b w:val="0"/>
          <w:i w:val="0"/>
          <w:color w:val="auto"/>
        </w:rPr>
        <w:t xml:space="preserve">country </w:t>
      </w:r>
      <w:r w:rsidR="005F306A" w:rsidRPr="008017BB">
        <w:rPr>
          <w:rStyle w:val="IntenseEmphasis"/>
          <w:rFonts w:cstheme="minorHAnsi"/>
          <w:b w:val="0"/>
          <w:i w:val="0"/>
          <w:color w:val="auto"/>
        </w:rPr>
        <w:t xml:space="preserve">contexts. </w:t>
      </w:r>
      <w:r w:rsidR="00F23D11" w:rsidRPr="008017BB">
        <w:rPr>
          <w:rStyle w:val="IntenseEmphasis"/>
          <w:rFonts w:cstheme="minorHAnsi"/>
          <w:b w:val="0"/>
          <w:i w:val="0"/>
          <w:color w:val="auto"/>
        </w:rPr>
        <w:t>T</w:t>
      </w:r>
      <w:r w:rsidR="005F306A" w:rsidRPr="008017BB">
        <w:rPr>
          <w:rStyle w:val="IntenseEmphasis"/>
          <w:rFonts w:cstheme="minorHAnsi"/>
          <w:b w:val="0"/>
          <w:i w:val="0"/>
          <w:color w:val="auto"/>
        </w:rPr>
        <w:t xml:space="preserve">he </w:t>
      </w:r>
      <w:r w:rsidR="00FE1B65" w:rsidRPr="008017BB">
        <w:rPr>
          <w:rStyle w:val="IntenseEmphasis"/>
          <w:rFonts w:cstheme="minorHAnsi"/>
          <w:b w:val="0"/>
          <w:i w:val="0"/>
          <w:color w:val="auto"/>
        </w:rPr>
        <w:t xml:space="preserve">Ugandan government’s </w:t>
      </w:r>
      <w:r w:rsidR="005F306A" w:rsidRPr="008017BB">
        <w:rPr>
          <w:rStyle w:val="IntenseEmphasis"/>
          <w:rFonts w:cstheme="minorHAnsi"/>
          <w:b w:val="0"/>
          <w:i w:val="0"/>
          <w:color w:val="auto"/>
        </w:rPr>
        <w:t>proclivities to use raw, brazen and brutal force</w:t>
      </w:r>
      <w:r w:rsidR="00F23D11" w:rsidRPr="008017BB">
        <w:rPr>
          <w:rStyle w:val="IntenseEmphasis"/>
          <w:rFonts w:cstheme="minorHAnsi"/>
          <w:b w:val="0"/>
          <w:i w:val="0"/>
          <w:color w:val="auto"/>
        </w:rPr>
        <w:t>, for instance, are well documented</w:t>
      </w:r>
      <w:r w:rsidR="00444511">
        <w:rPr>
          <w:rStyle w:val="IntenseEmphasis"/>
          <w:rFonts w:cstheme="minorHAnsi"/>
          <w:b w:val="0"/>
          <w:i w:val="0"/>
          <w:color w:val="auto"/>
        </w:rPr>
        <w:t>,</w:t>
      </w:r>
      <w:r w:rsidR="00F23D11" w:rsidRPr="008017BB">
        <w:rPr>
          <w:rStyle w:val="IntenseEmphasis"/>
          <w:rFonts w:cstheme="minorHAnsi"/>
          <w:b w:val="0"/>
          <w:i w:val="0"/>
          <w:color w:val="auto"/>
        </w:rPr>
        <w:t xml:space="preserve"> while i</w:t>
      </w:r>
      <w:r w:rsidR="00444511">
        <w:rPr>
          <w:rStyle w:val="IntenseEmphasis"/>
          <w:rFonts w:cstheme="minorHAnsi"/>
          <w:b w:val="0"/>
          <w:i w:val="0"/>
          <w:color w:val="auto"/>
        </w:rPr>
        <w:t>n Sudan</w:t>
      </w:r>
      <w:r w:rsidR="005F306A" w:rsidRPr="008017BB">
        <w:rPr>
          <w:rStyle w:val="IntenseEmphasis"/>
          <w:rFonts w:cstheme="minorHAnsi"/>
          <w:b w:val="0"/>
          <w:i w:val="0"/>
          <w:color w:val="auto"/>
        </w:rPr>
        <w:t xml:space="preserve"> the government of President Bashir opportunistically piggy-backed on the crisis in the Middle East and North Africa to strengthen </w:t>
      </w:r>
      <w:r w:rsidR="00F23D11" w:rsidRPr="008017BB">
        <w:rPr>
          <w:rStyle w:val="IntenseEmphasis"/>
          <w:rFonts w:cstheme="minorHAnsi"/>
          <w:b w:val="0"/>
          <w:i w:val="0"/>
          <w:color w:val="auto"/>
        </w:rPr>
        <w:t xml:space="preserve">its </w:t>
      </w:r>
      <w:r w:rsidR="005F306A" w:rsidRPr="008017BB">
        <w:rPr>
          <w:rStyle w:val="IntenseEmphasis"/>
          <w:rFonts w:cstheme="minorHAnsi"/>
          <w:b w:val="0"/>
          <w:i w:val="0"/>
          <w:color w:val="auto"/>
        </w:rPr>
        <w:t xml:space="preserve"> role in international politics</w:t>
      </w:r>
      <w:r w:rsidR="00F23D11" w:rsidRPr="008017BB">
        <w:rPr>
          <w:rStyle w:val="IntenseEmphasis"/>
          <w:rFonts w:cstheme="minorHAnsi"/>
          <w:b w:val="0"/>
          <w:i w:val="0"/>
          <w:color w:val="auto"/>
        </w:rPr>
        <w:t xml:space="preserve">; </w:t>
      </w:r>
      <w:r w:rsidR="005F306A" w:rsidRPr="008017BB">
        <w:rPr>
          <w:rStyle w:val="IntenseEmphasis"/>
          <w:rFonts w:cstheme="minorHAnsi"/>
          <w:b w:val="0"/>
          <w:i w:val="0"/>
          <w:color w:val="auto"/>
        </w:rPr>
        <w:t xml:space="preserve">cultivating goodwill and at the same time diverting attention away from its strong-arm domestic policies. In Kenya, the government of President Kenyatta largely used the language of terrorism and counter-terrorism as a </w:t>
      </w:r>
      <w:r w:rsidR="00253F8B">
        <w:rPr>
          <w:rStyle w:val="IntenseEmphasis"/>
          <w:rFonts w:cstheme="minorHAnsi"/>
          <w:b w:val="0"/>
          <w:i w:val="0"/>
          <w:color w:val="auto"/>
        </w:rPr>
        <w:t>cover</w:t>
      </w:r>
      <w:r w:rsidR="00253F8B" w:rsidRPr="008017BB">
        <w:rPr>
          <w:rStyle w:val="IntenseEmphasis"/>
          <w:rFonts w:cstheme="minorHAnsi"/>
          <w:b w:val="0"/>
          <w:i w:val="0"/>
          <w:color w:val="auto"/>
        </w:rPr>
        <w:t xml:space="preserve"> </w:t>
      </w:r>
      <w:r w:rsidR="005F306A" w:rsidRPr="008017BB">
        <w:rPr>
          <w:rStyle w:val="IntenseEmphasis"/>
          <w:rFonts w:cstheme="minorHAnsi"/>
          <w:b w:val="0"/>
          <w:i w:val="0"/>
          <w:color w:val="auto"/>
        </w:rPr>
        <w:t>to prosecute its assault on the transformative and progressive democratic a</w:t>
      </w:r>
      <w:r w:rsidR="00F43E35">
        <w:rPr>
          <w:rStyle w:val="IntenseEmphasis"/>
          <w:rFonts w:cstheme="minorHAnsi"/>
          <w:b w:val="0"/>
          <w:i w:val="0"/>
          <w:color w:val="auto"/>
        </w:rPr>
        <w:t>mbitions enshrined in the 2010 C</w:t>
      </w:r>
      <w:r w:rsidR="005F306A" w:rsidRPr="008017BB">
        <w:rPr>
          <w:rStyle w:val="IntenseEmphasis"/>
          <w:rFonts w:cstheme="minorHAnsi"/>
          <w:b w:val="0"/>
          <w:i w:val="0"/>
          <w:color w:val="auto"/>
        </w:rPr>
        <w:t>onstitution.</w:t>
      </w:r>
      <w:r w:rsidR="00F23D11" w:rsidRPr="008017BB">
        <w:rPr>
          <w:rStyle w:val="IntenseEmphasis"/>
          <w:rFonts w:cstheme="minorHAnsi"/>
          <w:b w:val="0"/>
          <w:i w:val="0"/>
          <w:color w:val="auto"/>
        </w:rPr>
        <w:t xml:space="preserve"> In Tanzania, the election to power of President Magufuli and his subsequent </w:t>
      </w:r>
      <w:r w:rsidR="00253F8B">
        <w:rPr>
          <w:rStyle w:val="IntenseEmphasis"/>
          <w:rFonts w:cstheme="minorHAnsi"/>
          <w:b w:val="0"/>
          <w:i w:val="0"/>
          <w:color w:val="auto"/>
        </w:rPr>
        <w:t>initiation</w:t>
      </w:r>
      <w:r w:rsidR="00253F8B" w:rsidRPr="008017BB">
        <w:rPr>
          <w:rStyle w:val="IntenseEmphasis"/>
          <w:rFonts w:cstheme="minorHAnsi"/>
          <w:b w:val="0"/>
          <w:i w:val="0"/>
          <w:color w:val="auto"/>
        </w:rPr>
        <w:t xml:space="preserve"> </w:t>
      </w:r>
      <w:r w:rsidR="00F23D11" w:rsidRPr="008017BB">
        <w:rPr>
          <w:rStyle w:val="IntenseEmphasis"/>
          <w:rFonts w:cstheme="minorHAnsi"/>
          <w:b w:val="0"/>
          <w:i w:val="0"/>
          <w:color w:val="auto"/>
        </w:rPr>
        <w:t xml:space="preserve">of a populist war against corruption and inefficiency in public service delivery has obscured the view that there are at least two national newspapers that have been banned in the country; it also </w:t>
      </w:r>
      <w:r w:rsidR="003F504D" w:rsidRPr="008017BB">
        <w:rPr>
          <w:rStyle w:val="IntenseEmphasis"/>
          <w:rFonts w:cstheme="minorHAnsi"/>
          <w:b w:val="0"/>
          <w:i w:val="0"/>
          <w:color w:val="auto"/>
        </w:rPr>
        <w:t xml:space="preserve">hid </w:t>
      </w:r>
      <w:r w:rsidR="00F23D11" w:rsidRPr="008017BB">
        <w:rPr>
          <w:rStyle w:val="IntenseEmphasis"/>
          <w:rFonts w:cstheme="minorHAnsi"/>
          <w:b w:val="0"/>
          <w:i w:val="0"/>
          <w:color w:val="auto"/>
        </w:rPr>
        <w:t xml:space="preserve">the </w:t>
      </w:r>
      <w:r w:rsidR="003F504D" w:rsidRPr="008017BB">
        <w:rPr>
          <w:rStyle w:val="IntenseEmphasis"/>
          <w:rFonts w:cstheme="minorHAnsi"/>
          <w:b w:val="0"/>
          <w:i w:val="0"/>
          <w:color w:val="auto"/>
        </w:rPr>
        <w:t xml:space="preserve">fact that the constitutional reform </w:t>
      </w:r>
      <w:r w:rsidR="00444511">
        <w:rPr>
          <w:rStyle w:val="IntenseEmphasis"/>
          <w:rFonts w:cstheme="minorHAnsi"/>
          <w:b w:val="0"/>
          <w:i w:val="0"/>
          <w:color w:val="auto"/>
        </w:rPr>
        <w:t xml:space="preserve">process </w:t>
      </w:r>
      <w:r w:rsidR="00F23D11" w:rsidRPr="008017BB">
        <w:rPr>
          <w:rStyle w:val="IntenseEmphasis"/>
          <w:rFonts w:cstheme="minorHAnsi"/>
          <w:b w:val="0"/>
          <w:i w:val="0"/>
          <w:color w:val="auto"/>
        </w:rPr>
        <w:t xml:space="preserve">has </w:t>
      </w:r>
      <w:r w:rsidR="003F504D" w:rsidRPr="008017BB">
        <w:rPr>
          <w:rStyle w:val="IntenseEmphasis"/>
          <w:rFonts w:cstheme="minorHAnsi"/>
          <w:b w:val="0"/>
          <w:i w:val="0"/>
          <w:color w:val="auto"/>
        </w:rPr>
        <w:t xml:space="preserve">been </w:t>
      </w:r>
      <w:r w:rsidR="00F23D11" w:rsidRPr="008017BB">
        <w:rPr>
          <w:rStyle w:val="IntenseEmphasis"/>
          <w:rFonts w:cstheme="minorHAnsi"/>
          <w:b w:val="0"/>
          <w:i w:val="0"/>
          <w:color w:val="auto"/>
        </w:rPr>
        <w:t xml:space="preserve">stalled in the country </w:t>
      </w:r>
      <w:r w:rsidR="003F504D" w:rsidRPr="008017BB">
        <w:rPr>
          <w:rStyle w:val="IntenseEmphasis"/>
          <w:rFonts w:cstheme="minorHAnsi"/>
          <w:b w:val="0"/>
          <w:i w:val="0"/>
          <w:color w:val="auto"/>
        </w:rPr>
        <w:t xml:space="preserve">by the ruling </w:t>
      </w:r>
      <w:r w:rsidR="00EF35B6" w:rsidRPr="00EF35B6">
        <w:rPr>
          <w:rStyle w:val="IntenseEmphasis"/>
          <w:rFonts w:cstheme="minorHAnsi"/>
          <w:b w:val="0"/>
          <w:i w:val="0"/>
          <w:color w:val="auto"/>
        </w:rPr>
        <w:t>Chama Cha Mapinduzi (</w:t>
      </w:r>
      <w:r w:rsidR="003F504D" w:rsidRPr="00EF35B6">
        <w:rPr>
          <w:rStyle w:val="IntenseEmphasis"/>
          <w:rFonts w:cstheme="minorHAnsi"/>
          <w:b w:val="0"/>
          <w:i w:val="0"/>
          <w:color w:val="auto"/>
        </w:rPr>
        <w:t>CCM</w:t>
      </w:r>
      <w:r w:rsidR="00EF35B6">
        <w:rPr>
          <w:rStyle w:val="IntenseEmphasis"/>
          <w:rFonts w:cstheme="minorHAnsi"/>
          <w:b w:val="0"/>
          <w:i w:val="0"/>
          <w:color w:val="auto"/>
        </w:rPr>
        <w:t>)</w:t>
      </w:r>
      <w:r w:rsidR="003F504D" w:rsidRPr="008017BB">
        <w:rPr>
          <w:rStyle w:val="IntenseEmphasis"/>
          <w:rFonts w:cstheme="minorHAnsi"/>
          <w:b w:val="0"/>
          <w:i w:val="0"/>
          <w:color w:val="auto"/>
        </w:rPr>
        <w:t xml:space="preserve"> party </w:t>
      </w:r>
      <w:r w:rsidR="00F23D11" w:rsidRPr="008017BB">
        <w:rPr>
          <w:rStyle w:val="IntenseEmphasis"/>
          <w:rFonts w:cstheme="minorHAnsi"/>
          <w:b w:val="0"/>
          <w:i w:val="0"/>
          <w:color w:val="auto"/>
        </w:rPr>
        <w:t>and with it frozen the hopes of many for a new democratic dawn in the country</w:t>
      </w:r>
      <w:r w:rsidR="003F504D" w:rsidRPr="008017BB">
        <w:rPr>
          <w:rStyle w:val="IntenseEmphasis"/>
          <w:rFonts w:cstheme="minorHAnsi"/>
          <w:b w:val="0"/>
          <w:i w:val="0"/>
          <w:color w:val="auto"/>
        </w:rPr>
        <w:t xml:space="preserve">. Equally bad is the fact that </w:t>
      </w:r>
      <w:r w:rsidR="00F23D11" w:rsidRPr="008017BB">
        <w:rPr>
          <w:rStyle w:val="IntenseEmphasis"/>
          <w:rFonts w:cstheme="minorHAnsi"/>
          <w:b w:val="0"/>
          <w:i w:val="0"/>
          <w:color w:val="auto"/>
        </w:rPr>
        <w:t xml:space="preserve">the </w:t>
      </w:r>
      <w:r w:rsidR="003F504D" w:rsidRPr="008017BB">
        <w:rPr>
          <w:rStyle w:val="IntenseEmphasis"/>
          <w:rFonts w:cstheme="minorHAnsi"/>
          <w:b w:val="0"/>
          <w:i w:val="0"/>
          <w:color w:val="auto"/>
        </w:rPr>
        <w:t>political repression in Zanzibar has deteriorated to worrying levels.</w:t>
      </w:r>
    </w:p>
    <w:p w:rsidR="007F515D" w:rsidRPr="008017BB" w:rsidRDefault="005F306A" w:rsidP="00C210CA">
      <w:pPr>
        <w:spacing w:line="240" w:lineRule="auto"/>
        <w:jc w:val="both"/>
        <w:rPr>
          <w:rStyle w:val="IntenseEmphasis"/>
          <w:rFonts w:cstheme="minorHAnsi"/>
          <w:b w:val="0"/>
          <w:i w:val="0"/>
          <w:color w:val="auto"/>
        </w:rPr>
      </w:pPr>
      <w:r w:rsidRPr="008017BB">
        <w:rPr>
          <w:rStyle w:val="IntenseEmphasis"/>
          <w:rFonts w:cstheme="minorHAnsi"/>
          <w:b w:val="0"/>
          <w:i w:val="0"/>
          <w:color w:val="auto"/>
        </w:rPr>
        <w:t xml:space="preserve">The region also continued to witness sharp political and ethnic polarization and the cases of the open conflict in Burundi and South Sudan exemplify the worst of this predicament within the region. In Kenya, the deep-seated ethnic divide pits the two ethnic communities in power, the Gikuyu and Kalenjin, in sharp and strident contestation </w:t>
      </w:r>
      <w:r w:rsidR="008B2A75" w:rsidRPr="008017BB">
        <w:rPr>
          <w:rStyle w:val="IntenseEmphasis"/>
          <w:rFonts w:cstheme="minorHAnsi"/>
          <w:b w:val="0"/>
          <w:i w:val="0"/>
          <w:color w:val="auto"/>
        </w:rPr>
        <w:t xml:space="preserve">against the rest; approximately forty others. </w:t>
      </w:r>
      <w:r w:rsidRPr="008017BB">
        <w:rPr>
          <w:rStyle w:val="IntenseEmphasis"/>
          <w:rFonts w:cstheme="minorHAnsi"/>
          <w:b w:val="0"/>
          <w:i w:val="0"/>
          <w:color w:val="auto"/>
        </w:rPr>
        <w:t>In Uganda, the ethnicities associated with President Museveni’s western ethnic Banyankole coalition are now subject to ever-growing animus from the rest of the country. Only in Tanzania have we not witnessed such polarization but the dynamic of Zanzibari separatism continues to play out over increasingly shrill and strident political notes.</w:t>
      </w:r>
    </w:p>
    <w:p w:rsidR="005F306A" w:rsidRPr="008017BB" w:rsidRDefault="005F306A" w:rsidP="00C210CA">
      <w:pPr>
        <w:spacing w:line="240" w:lineRule="auto"/>
        <w:jc w:val="both"/>
        <w:rPr>
          <w:rStyle w:val="IntenseEmphasis"/>
          <w:rFonts w:cstheme="minorHAnsi"/>
          <w:b w:val="0"/>
          <w:i w:val="0"/>
          <w:color w:val="auto"/>
        </w:rPr>
      </w:pPr>
      <w:r w:rsidRPr="008017BB">
        <w:rPr>
          <w:rStyle w:val="IntenseEmphasis"/>
          <w:rFonts w:cstheme="minorHAnsi"/>
          <w:b w:val="0"/>
          <w:i w:val="0"/>
          <w:color w:val="auto"/>
        </w:rPr>
        <w:t xml:space="preserve">The economies in </w:t>
      </w:r>
      <w:r w:rsidR="00271B8E">
        <w:rPr>
          <w:rStyle w:val="IntenseEmphasis"/>
          <w:rFonts w:cstheme="minorHAnsi"/>
          <w:b w:val="0"/>
          <w:i w:val="0"/>
          <w:color w:val="auto"/>
        </w:rPr>
        <w:t>eastern Africa have been</w:t>
      </w:r>
      <w:r w:rsidRPr="008017BB">
        <w:rPr>
          <w:rStyle w:val="IntenseEmphasis"/>
          <w:rFonts w:cstheme="minorHAnsi"/>
          <w:b w:val="0"/>
          <w:i w:val="0"/>
          <w:color w:val="auto"/>
        </w:rPr>
        <w:t xml:space="preserve"> majorly characterized by endemic corruption </w:t>
      </w:r>
      <w:r w:rsidR="00141B83" w:rsidRPr="008017BB">
        <w:rPr>
          <w:rStyle w:val="IntenseEmphasis"/>
          <w:rFonts w:cstheme="minorHAnsi"/>
          <w:b w:val="0"/>
          <w:i w:val="0"/>
          <w:color w:val="auto"/>
        </w:rPr>
        <w:t xml:space="preserve">that </w:t>
      </w:r>
      <w:r w:rsidRPr="008017BB">
        <w:rPr>
          <w:rStyle w:val="IntenseEmphasis"/>
          <w:rFonts w:cstheme="minorHAnsi"/>
          <w:b w:val="0"/>
          <w:i w:val="0"/>
          <w:color w:val="auto"/>
        </w:rPr>
        <w:t>has reached mi</w:t>
      </w:r>
      <w:r w:rsidR="009D1BE0" w:rsidRPr="008017BB">
        <w:rPr>
          <w:rStyle w:val="IntenseEmphasis"/>
          <w:rFonts w:cstheme="minorHAnsi"/>
          <w:b w:val="0"/>
          <w:i w:val="0"/>
          <w:color w:val="auto"/>
        </w:rPr>
        <w:t xml:space="preserve">nd-boggling proportions; </w:t>
      </w:r>
      <w:r w:rsidRPr="008017BB">
        <w:rPr>
          <w:rStyle w:val="IntenseEmphasis"/>
          <w:rFonts w:cstheme="minorHAnsi"/>
          <w:b w:val="0"/>
          <w:i w:val="0"/>
          <w:color w:val="auto"/>
        </w:rPr>
        <w:t>seem</w:t>
      </w:r>
      <w:r w:rsidR="009D1BE0" w:rsidRPr="008017BB">
        <w:rPr>
          <w:rStyle w:val="IntenseEmphasis"/>
          <w:rFonts w:cstheme="minorHAnsi"/>
          <w:b w:val="0"/>
          <w:i w:val="0"/>
          <w:color w:val="auto"/>
        </w:rPr>
        <w:t xml:space="preserve">ingly </w:t>
      </w:r>
      <w:r w:rsidRPr="008017BB">
        <w:rPr>
          <w:rStyle w:val="IntenseEmphasis"/>
          <w:rFonts w:cstheme="minorHAnsi"/>
          <w:b w:val="0"/>
          <w:i w:val="0"/>
          <w:color w:val="auto"/>
        </w:rPr>
        <w:t xml:space="preserve">both cancerous and run-away; defying all attempts to </w:t>
      </w:r>
      <w:r w:rsidR="009D1BE0" w:rsidRPr="008017BB">
        <w:rPr>
          <w:rStyle w:val="IntenseEmphasis"/>
          <w:rFonts w:cstheme="minorHAnsi"/>
          <w:b w:val="0"/>
          <w:i w:val="0"/>
          <w:color w:val="auto"/>
        </w:rPr>
        <w:t>prevent, harness or manage</w:t>
      </w:r>
      <w:r w:rsidRPr="008017BB">
        <w:rPr>
          <w:rStyle w:val="IntenseEmphasis"/>
          <w:rFonts w:cstheme="minorHAnsi"/>
          <w:b w:val="0"/>
          <w:i w:val="0"/>
          <w:color w:val="auto"/>
        </w:rPr>
        <w:t xml:space="preserve">. Indeed, international donor partners </w:t>
      </w:r>
      <w:r w:rsidR="009D1BE0" w:rsidRPr="008017BB">
        <w:rPr>
          <w:rStyle w:val="IntenseEmphasis"/>
          <w:rFonts w:cstheme="minorHAnsi"/>
          <w:b w:val="0"/>
          <w:i w:val="0"/>
          <w:color w:val="auto"/>
        </w:rPr>
        <w:t xml:space="preserve">in the region </w:t>
      </w:r>
      <w:r w:rsidRPr="008017BB">
        <w:rPr>
          <w:rStyle w:val="IntenseEmphasis"/>
          <w:rFonts w:cstheme="minorHAnsi"/>
          <w:b w:val="0"/>
          <w:i w:val="0"/>
          <w:color w:val="auto"/>
        </w:rPr>
        <w:t>have been quietly and sometimes publicly threatening to withdraw foreign direct assistance d</w:t>
      </w:r>
      <w:r w:rsidR="009D1BE0" w:rsidRPr="008017BB">
        <w:rPr>
          <w:rStyle w:val="IntenseEmphasis"/>
          <w:rFonts w:cstheme="minorHAnsi"/>
          <w:b w:val="0"/>
          <w:i w:val="0"/>
          <w:color w:val="auto"/>
        </w:rPr>
        <w:t>ue to corruption and public finance mismanagement</w:t>
      </w:r>
      <w:r w:rsidRPr="008017BB">
        <w:rPr>
          <w:rStyle w:val="IntenseEmphasis"/>
          <w:rFonts w:cstheme="minorHAnsi"/>
          <w:b w:val="0"/>
          <w:i w:val="0"/>
          <w:color w:val="auto"/>
        </w:rPr>
        <w:t>.</w:t>
      </w:r>
      <w:r w:rsidR="00271B8E">
        <w:rPr>
          <w:rStyle w:val="IntenseEmphasis"/>
          <w:rFonts w:cstheme="minorHAnsi"/>
          <w:b w:val="0"/>
          <w:i w:val="0"/>
          <w:color w:val="auto"/>
        </w:rPr>
        <w:t xml:space="preserve"> </w:t>
      </w:r>
    </w:p>
    <w:p w:rsidR="005F306A" w:rsidRPr="008017BB" w:rsidRDefault="005F306A" w:rsidP="00C210CA">
      <w:pPr>
        <w:spacing w:line="240" w:lineRule="auto"/>
        <w:jc w:val="both"/>
        <w:rPr>
          <w:rStyle w:val="IntenseEmphasis"/>
          <w:rFonts w:cstheme="minorHAnsi"/>
          <w:b w:val="0"/>
          <w:i w:val="0"/>
          <w:color w:val="auto"/>
        </w:rPr>
      </w:pPr>
      <w:r w:rsidRPr="008017BB">
        <w:rPr>
          <w:rStyle w:val="IntenseEmphasis"/>
          <w:rFonts w:cstheme="minorHAnsi"/>
          <w:b w:val="0"/>
          <w:i w:val="0"/>
          <w:color w:val="auto"/>
        </w:rPr>
        <w:t>Donors working in the human rights, democratic governance and rule of l</w:t>
      </w:r>
      <w:r w:rsidR="008017BB" w:rsidRPr="008017BB">
        <w:rPr>
          <w:rStyle w:val="IntenseEmphasis"/>
          <w:rFonts w:cstheme="minorHAnsi"/>
          <w:b w:val="0"/>
          <w:i w:val="0"/>
          <w:color w:val="auto"/>
        </w:rPr>
        <w:t>aw sector</w:t>
      </w:r>
      <w:r w:rsidR="00271B8E">
        <w:rPr>
          <w:rStyle w:val="IntenseEmphasis"/>
          <w:rFonts w:cstheme="minorHAnsi"/>
          <w:b w:val="0"/>
          <w:i w:val="0"/>
          <w:color w:val="auto"/>
        </w:rPr>
        <w:t>s</w:t>
      </w:r>
      <w:r w:rsidR="008017BB" w:rsidRPr="008017BB">
        <w:rPr>
          <w:rStyle w:val="IntenseEmphasis"/>
          <w:rFonts w:cstheme="minorHAnsi"/>
          <w:b w:val="0"/>
          <w:i w:val="0"/>
          <w:color w:val="auto"/>
        </w:rPr>
        <w:t xml:space="preserve"> in the region </w:t>
      </w:r>
      <w:r w:rsidRPr="008017BB">
        <w:rPr>
          <w:rStyle w:val="IntenseEmphasis"/>
          <w:rFonts w:cstheme="minorHAnsi"/>
          <w:b w:val="0"/>
          <w:i w:val="0"/>
          <w:color w:val="auto"/>
        </w:rPr>
        <w:t xml:space="preserve">seem to be </w:t>
      </w:r>
      <w:r w:rsidR="008017BB" w:rsidRPr="008017BB">
        <w:rPr>
          <w:rStyle w:val="IntenseEmphasis"/>
          <w:rFonts w:cstheme="minorHAnsi"/>
          <w:b w:val="0"/>
          <w:i w:val="0"/>
          <w:color w:val="auto"/>
        </w:rPr>
        <w:t xml:space="preserve">largely </w:t>
      </w:r>
      <w:r w:rsidRPr="008017BB">
        <w:rPr>
          <w:rStyle w:val="IntenseEmphasis"/>
          <w:rFonts w:cstheme="minorHAnsi"/>
          <w:b w:val="0"/>
          <w:i w:val="0"/>
          <w:color w:val="auto"/>
        </w:rPr>
        <w:t>reducing their support for civil societies working in these area</w:t>
      </w:r>
      <w:r w:rsidR="008017BB" w:rsidRPr="008017BB">
        <w:rPr>
          <w:rStyle w:val="IntenseEmphasis"/>
          <w:rFonts w:cstheme="minorHAnsi"/>
          <w:b w:val="0"/>
          <w:i w:val="0"/>
          <w:color w:val="auto"/>
        </w:rPr>
        <w:t xml:space="preserve">s or totally withdrawing from this space </w:t>
      </w:r>
      <w:r w:rsidRPr="008017BB">
        <w:rPr>
          <w:rStyle w:val="IntenseEmphasis"/>
          <w:rFonts w:cstheme="minorHAnsi"/>
          <w:b w:val="0"/>
          <w:i w:val="0"/>
          <w:color w:val="auto"/>
        </w:rPr>
        <w:t>altogether. This has been due to several reasons; not least that there has been a lack of traction or progress in achieving positive results or outcomes in these areas</w:t>
      </w:r>
      <w:r w:rsidR="008017BB" w:rsidRPr="008017BB">
        <w:rPr>
          <w:rStyle w:val="IntenseEmphasis"/>
          <w:rFonts w:cstheme="minorHAnsi"/>
          <w:b w:val="0"/>
          <w:i w:val="0"/>
          <w:color w:val="auto"/>
        </w:rPr>
        <w:t>. Moreover</w:t>
      </w:r>
      <w:r w:rsidR="00D203BA">
        <w:rPr>
          <w:rStyle w:val="IntenseEmphasis"/>
          <w:rFonts w:cstheme="minorHAnsi"/>
          <w:b w:val="0"/>
          <w:i w:val="0"/>
          <w:color w:val="auto"/>
        </w:rPr>
        <w:t>, it has</w:t>
      </w:r>
      <w:r w:rsidR="008017BB" w:rsidRPr="008017BB">
        <w:rPr>
          <w:rStyle w:val="IntenseEmphasis"/>
          <w:rFonts w:cstheme="minorHAnsi"/>
          <w:b w:val="0"/>
          <w:i w:val="0"/>
          <w:color w:val="auto"/>
        </w:rPr>
        <w:t xml:space="preserve"> </w:t>
      </w:r>
      <w:r w:rsidRPr="008017BB">
        <w:rPr>
          <w:rStyle w:val="IntenseEmphasis"/>
          <w:rFonts w:cstheme="minorHAnsi"/>
          <w:b w:val="0"/>
          <w:i w:val="0"/>
          <w:color w:val="auto"/>
        </w:rPr>
        <w:t xml:space="preserve">also </w:t>
      </w:r>
      <w:r w:rsidR="00D203BA">
        <w:rPr>
          <w:rStyle w:val="IntenseEmphasis"/>
          <w:rFonts w:cstheme="minorHAnsi"/>
          <w:b w:val="0"/>
          <w:i w:val="0"/>
          <w:color w:val="auto"/>
        </w:rPr>
        <w:t xml:space="preserve">been </w:t>
      </w:r>
      <w:r w:rsidRPr="008017BB">
        <w:rPr>
          <w:rStyle w:val="IntenseEmphasis"/>
          <w:rFonts w:cstheme="minorHAnsi"/>
          <w:b w:val="0"/>
          <w:i w:val="0"/>
          <w:color w:val="auto"/>
        </w:rPr>
        <w:t>due to a deliberate and orchestrated policy by some governments in the region to stare down and intimidate them.</w:t>
      </w:r>
    </w:p>
    <w:p w:rsidR="005F306A" w:rsidRPr="008017BB" w:rsidRDefault="005F306A" w:rsidP="00C210CA">
      <w:pPr>
        <w:spacing w:line="240" w:lineRule="auto"/>
        <w:jc w:val="both"/>
        <w:rPr>
          <w:rStyle w:val="IntenseEmphasis"/>
          <w:rFonts w:cstheme="minorHAnsi"/>
          <w:b w:val="0"/>
          <w:i w:val="0"/>
          <w:color w:val="auto"/>
        </w:rPr>
      </w:pPr>
      <w:r w:rsidRPr="008017BB">
        <w:rPr>
          <w:rStyle w:val="IntenseEmphasis"/>
          <w:rFonts w:cstheme="minorHAnsi"/>
          <w:b w:val="0"/>
          <w:i w:val="0"/>
          <w:color w:val="auto"/>
        </w:rPr>
        <w:t xml:space="preserve">Concerns over marginalization of specific categories of people in the region such as women, people with disabilities, ethnic minorities, and the LGBTI community also continued to be in sharp focus. There were myriad instances of legal, policy-level, and citizen-level assaults on the recognition and </w:t>
      </w:r>
      <w:r w:rsidR="008017BB" w:rsidRPr="008017BB">
        <w:rPr>
          <w:rStyle w:val="IntenseEmphasis"/>
          <w:rFonts w:cstheme="minorHAnsi"/>
          <w:b w:val="0"/>
          <w:i w:val="0"/>
          <w:color w:val="auto"/>
        </w:rPr>
        <w:t xml:space="preserve">respect of the </w:t>
      </w:r>
      <w:r w:rsidRPr="008017BB">
        <w:rPr>
          <w:rStyle w:val="IntenseEmphasis"/>
          <w:rFonts w:cstheme="minorHAnsi"/>
          <w:b w:val="0"/>
          <w:i w:val="0"/>
          <w:color w:val="auto"/>
        </w:rPr>
        <w:t>rights of these populations.</w:t>
      </w:r>
    </w:p>
    <w:p w:rsidR="00290CCF" w:rsidRPr="008017BB" w:rsidRDefault="005F306A" w:rsidP="00C210CA">
      <w:pPr>
        <w:pStyle w:val="ListParagraph"/>
        <w:spacing w:line="240" w:lineRule="auto"/>
        <w:ind w:left="0"/>
        <w:jc w:val="both"/>
        <w:rPr>
          <w:rStyle w:val="IntenseEmphasis"/>
          <w:rFonts w:cstheme="minorHAnsi"/>
          <w:b w:val="0"/>
          <w:bCs w:val="0"/>
          <w:i w:val="0"/>
          <w:iCs w:val="0"/>
          <w:color w:val="auto"/>
        </w:rPr>
      </w:pPr>
      <w:r w:rsidRPr="008017BB">
        <w:rPr>
          <w:rStyle w:val="IntenseEmphasis"/>
          <w:rFonts w:cstheme="minorHAnsi"/>
          <w:b w:val="0"/>
          <w:i w:val="0"/>
          <w:color w:val="auto"/>
        </w:rPr>
        <w:t>But the dream of a just, free, vibrant and inclusive region remained ali</w:t>
      </w:r>
      <w:r w:rsidR="008017BB">
        <w:rPr>
          <w:rStyle w:val="IntenseEmphasis"/>
          <w:rFonts w:cstheme="minorHAnsi"/>
          <w:b w:val="0"/>
          <w:i w:val="0"/>
          <w:color w:val="auto"/>
        </w:rPr>
        <w:t xml:space="preserve">ve. In Sudan, for instance, citizens </w:t>
      </w:r>
      <w:r w:rsidRPr="008017BB">
        <w:rPr>
          <w:rStyle w:val="IntenseEmphasis"/>
          <w:rFonts w:cstheme="minorHAnsi"/>
          <w:b w:val="0"/>
          <w:i w:val="0"/>
          <w:color w:val="auto"/>
        </w:rPr>
        <w:t>mobilized to boycott the elections and thus deny the Bashir regime the kind of electoral</w:t>
      </w:r>
      <w:r w:rsidR="00665A3F">
        <w:rPr>
          <w:rStyle w:val="IntenseEmphasis"/>
          <w:rFonts w:cstheme="minorHAnsi"/>
          <w:b w:val="0"/>
          <w:i w:val="0"/>
          <w:color w:val="auto"/>
        </w:rPr>
        <w:t xml:space="preserve"> legitimacy it</w:t>
      </w:r>
      <w:r w:rsidR="008017BB">
        <w:rPr>
          <w:rStyle w:val="IntenseEmphasis"/>
          <w:rFonts w:cstheme="minorHAnsi"/>
          <w:b w:val="0"/>
          <w:i w:val="0"/>
          <w:color w:val="auto"/>
        </w:rPr>
        <w:t xml:space="preserve"> craved</w:t>
      </w:r>
      <w:r w:rsidRPr="008017BB">
        <w:rPr>
          <w:rStyle w:val="IntenseEmphasis"/>
          <w:rFonts w:cstheme="minorHAnsi"/>
          <w:b w:val="0"/>
          <w:i w:val="0"/>
          <w:color w:val="auto"/>
        </w:rPr>
        <w:t xml:space="preserve">. The youth there </w:t>
      </w:r>
      <w:r w:rsidR="001D185F">
        <w:rPr>
          <w:rStyle w:val="IntenseEmphasis"/>
          <w:rFonts w:cstheme="minorHAnsi"/>
          <w:b w:val="0"/>
          <w:i w:val="0"/>
          <w:color w:val="auto"/>
        </w:rPr>
        <w:t>have been</w:t>
      </w:r>
      <w:r w:rsidRPr="008017BB">
        <w:rPr>
          <w:rStyle w:val="IntenseEmphasis"/>
          <w:rFonts w:cstheme="minorHAnsi"/>
          <w:b w:val="0"/>
          <w:i w:val="0"/>
          <w:color w:val="auto"/>
        </w:rPr>
        <w:t xml:space="preserve"> particularly engaged in conversations on how to take forward their democratic dream. The citizens in Uganda continued to r</w:t>
      </w:r>
      <w:r w:rsidR="001D185F">
        <w:rPr>
          <w:rStyle w:val="IntenseEmphasis"/>
          <w:rFonts w:cstheme="minorHAnsi"/>
          <w:b w:val="0"/>
          <w:i w:val="0"/>
          <w:color w:val="auto"/>
        </w:rPr>
        <w:t xml:space="preserve">esist and defy Museveni </w:t>
      </w:r>
      <w:r w:rsidR="00665A3F">
        <w:rPr>
          <w:rStyle w:val="IntenseEmphasis"/>
          <w:rFonts w:cstheme="minorHAnsi"/>
          <w:b w:val="0"/>
          <w:i w:val="0"/>
          <w:color w:val="auto"/>
        </w:rPr>
        <w:t xml:space="preserve">and </w:t>
      </w:r>
      <w:r w:rsidR="00E91708" w:rsidRPr="008017BB">
        <w:rPr>
          <w:rStyle w:val="IntenseEmphasis"/>
          <w:rFonts w:cstheme="minorHAnsi"/>
          <w:b w:val="0"/>
          <w:i w:val="0"/>
          <w:color w:val="auto"/>
        </w:rPr>
        <w:t xml:space="preserve">continued to challenge </w:t>
      </w:r>
      <w:r w:rsidR="00E91708" w:rsidRPr="008017BB">
        <w:rPr>
          <w:rFonts w:cstheme="minorHAnsi"/>
        </w:rPr>
        <w:t xml:space="preserve">the continued militarization of governance in Uganda by focusing on electoral reforms and working to safeguard democratic spaces within parliament. Partnerships with CSOs </w:t>
      </w:r>
      <w:r w:rsidR="00665A3F" w:rsidRPr="008017BB">
        <w:rPr>
          <w:rFonts w:cstheme="minorHAnsi"/>
        </w:rPr>
        <w:t xml:space="preserve">to observe and document the electoral process </w:t>
      </w:r>
      <w:r w:rsidR="00E91708" w:rsidRPr="008017BB">
        <w:rPr>
          <w:rFonts w:cstheme="minorHAnsi"/>
        </w:rPr>
        <w:t>were made</w:t>
      </w:r>
      <w:r w:rsidR="001D185F">
        <w:rPr>
          <w:rFonts w:cstheme="minorHAnsi"/>
        </w:rPr>
        <w:t>,</w:t>
      </w:r>
      <w:r w:rsidR="00E91708" w:rsidRPr="008017BB">
        <w:rPr>
          <w:rFonts w:cstheme="minorHAnsi"/>
        </w:rPr>
        <w:t xml:space="preserve"> </w:t>
      </w:r>
      <w:r w:rsidR="00665A3F">
        <w:rPr>
          <w:rFonts w:cstheme="minorHAnsi"/>
        </w:rPr>
        <w:t>and enabled</w:t>
      </w:r>
      <w:r w:rsidR="00E91708" w:rsidRPr="008017BB">
        <w:rPr>
          <w:rFonts w:cstheme="minorHAnsi"/>
        </w:rPr>
        <w:t xml:space="preserve"> CSOs to build scenarios. </w:t>
      </w:r>
      <w:r w:rsidR="008233BD" w:rsidRPr="008017BB">
        <w:rPr>
          <w:rFonts w:cstheme="minorHAnsi"/>
        </w:rPr>
        <w:t xml:space="preserve">Outside Kampala, some </w:t>
      </w:r>
      <w:r w:rsidR="008233BD" w:rsidRPr="008017BB">
        <w:rPr>
          <w:rFonts w:cstheme="minorHAnsi"/>
        </w:rPr>
        <w:lastRenderedPageBreak/>
        <w:t xml:space="preserve">clusters </w:t>
      </w:r>
      <w:r w:rsidR="00665A3F">
        <w:rPr>
          <w:rFonts w:cstheme="minorHAnsi"/>
        </w:rPr>
        <w:t xml:space="preserve">enjoyed </w:t>
      </w:r>
      <w:r w:rsidR="008233BD" w:rsidRPr="008017BB">
        <w:rPr>
          <w:rFonts w:cstheme="minorHAnsi"/>
        </w:rPr>
        <w:t xml:space="preserve">success in 2015: the Karamoja cluster sought to create a Karamoja-wide coalition that had human rights </w:t>
      </w:r>
      <w:r w:rsidR="001D185F">
        <w:rPr>
          <w:rFonts w:cstheme="minorHAnsi"/>
        </w:rPr>
        <w:t>and food security at its center; th</w:t>
      </w:r>
      <w:r w:rsidR="008233BD" w:rsidRPr="008017BB">
        <w:rPr>
          <w:rFonts w:cstheme="minorHAnsi"/>
        </w:rPr>
        <w:t>e advocacy on extractives in th</w:t>
      </w:r>
      <w:r w:rsidR="001D185F">
        <w:rPr>
          <w:rFonts w:cstheme="minorHAnsi"/>
        </w:rPr>
        <w:t>is</w:t>
      </w:r>
      <w:r w:rsidR="008233BD" w:rsidRPr="008017BB">
        <w:rPr>
          <w:rFonts w:cstheme="minorHAnsi"/>
        </w:rPr>
        <w:t xml:space="preserve"> region was</w:t>
      </w:r>
      <w:r w:rsidR="00CE6339" w:rsidRPr="008017BB">
        <w:rPr>
          <w:rFonts w:cstheme="minorHAnsi"/>
        </w:rPr>
        <w:t xml:space="preserve"> oriented to this</w:t>
      </w:r>
      <w:r w:rsidR="008233BD" w:rsidRPr="008017BB">
        <w:rPr>
          <w:rFonts w:cstheme="minorHAnsi"/>
        </w:rPr>
        <w:t xml:space="preserve"> purpose</w:t>
      </w:r>
      <w:r w:rsidR="00CE6339" w:rsidRPr="008017BB">
        <w:rPr>
          <w:rFonts w:cstheme="minorHAnsi"/>
        </w:rPr>
        <w:t xml:space="preserve"> (rights and livelihood</w:t>
      </w:r>
      <w:r w:rsidR="001D185F">
        <w:rPr>
          <w:rFonts w:cstheme="minorHAnsi"/>
        </w:rPr>
        <w:t>s</w:t>
      </w:r>
      <w:r w:rsidR="00CE6339" w:rsidRPr="008017BB">
        <w:rPr>
          <w:rFonts w:cstheme="minorHAnsi"/>
        </w:rPr>
        <w:t>)</w:t>
      </w:r>
      <w:r w:rsidR="008233BD" w:rsidRPr="008017BB">
        <w:rPr>
          <w:rFonts w:cstheme="minorHAnsi"/>
        </w:rPr>
        <w:t xml:space="preserve">. </w:t>
      </w:r>
      <w:r w:rsidRPr="008017BB">
        <w:rPr>
          <w:rStyle w:val="IntenseEmphasis"/>
          <w:rFonts w:cstheme="minorHAnsi"/>
          <w:b w:val="0"/>
          <w:i w:val="0"/>
          <w:color w:val="auto"/>
        </w:rPr>
        <w:t xml:space="preserve">In Tanzania, the increased levels of opposition to the ruling </w:t>
      </w:r>
      <w:r w:rsidR="00665A3F">
        <w:rPr>
          <w:rStyle w:val="IntenseEmphasis"/>
          <w:rFonts w:cstheme="minorHAnsi"/>
          <w:b w:val="0"/>
          <w:i w:val="0"/>
          <w:color w:val="auto"/>
        </w:rPr>
        <w:t xml:space="preserve">CCM </w:t>
      </w:r>
      <w:r w:rsidRPr="008017BB">
        <w:rPr>
          <w:rStyle w:val="IntenseEmphasis"/>
          <w:rFonts w:cstheme="minorHAnsi"/>
          <w:b w:val="0"/>
          <w:i w:val="0"/>
          <w:color w:val="auto"/>
        </w:rPr>
        <w:t xml:space="preserve">party saw incoming President Magufuli engage in a very public and enchanting campaign against corruption and public-service entropy. In Kenya, there was a re-galvanized and ever-louder voice for real accountability around corruption and financial mismanagement. </w:t>
      </w:r>
      <w:r w:rsidR="00290CCF" w:rsidRPr="008017BB">
        <w:rPr>
          <w:rStyle w:val="IntenseEmphasis"/>
          <w:rFonts w:cstheme="minorHAnsi"/>
        </w:rPr>
        <w:br w:type="page"/>
      </w:r>
    </w:p>
    <w:p w:rsidR="008C25E7" w:rsidRDefault="008C25E7" w:rsidP="00C210CA">
      <w:pPr>
        <w:spacing w:line="240" w:lineRule="auto"/>
        <w:jc w:val="both"/>
        <w:rPr>
          <w:rStyle w:val="IntenseEmphasis"/>
          <w:rFonts w:cstheme="minorHAnsi"/>
        </w:rPr>
      </w:pPr>
      <w:r>
        <w:rPr>
          <w:rStyle w:val="IntenseEmphasis"/>
          <w:rFonts w:cstheme="minorHAnsi"/>
        </w:rPr>
        <w:lastRenderedPageBreak/>
        <w:t>KENYA PROGRAM</w:t>
      </w:r>
    </w:p>
    <w:p w:rsidR="002A05E1" w:rsidRPr="008017BB" w:rsidRDefault="00D60D7F" w:rsidP="00C210CA">
      <w:pPr>
        <w:spacing w:line="240" w:lineRule="auto"/>
        <w:jc w:val="both"/>
        <w:rPr>
          <w:rStyle w:val="IntenseEmphasis"/>
          <w:rFonts w:cstheme="minorHAnsi"/>
        </w:rPr>
      </w:pPr>
      <w:r>
        <w:rPr>
          <w:rStyle w:val="IntenseEmphasis"/>
          <w:rFonts w:cstheme="minorHAnsi"/>
        </w:rPr>
        <w:pict>
          <v:rect id="_x0000_i1025" style="width:0;height:1.5pt" o:hralign="center" o:hrstd="t" o:hr="t" fillcolor="#a0a0a0" stroked="f"/>
        </w:pict>
      </w:r>
    </w:p>
    <w:p w:rsidR="006406EC" w:rsidRPr="008017BB" w:rsidRDefault="006406EC" w:rsidP="00C210CA">
      <w:pPr>
        <w:spacing w:line="240" w:lineRule="auto"/>
        <w:jc w:val="both"/>
        <w:rPr>
          <w:rStyle w:val="Strong"/>
          <w:rFonts w:cstheme="minorHAnsi"/>
        </w:rPr>
      </w:pPr>
      <w:bookmarkStart w:id="0" w:name="_Toc414305519"/>
      <w:r w:rsidRPr="008017BB">
        <w:rPr>
          <w:rStyle w:val="Strong"/>
          <w:rFonts w:cstheme="minorHAnsi"/>
        </w:rPr>
        <w:t>Goal 1:  Select institutions, communities and individuals promote and safeguard the rights and values of the 2010 Constitution</w:t>
      </w:r>
      <w:bookmarkEnd w:id="0"/>
      <w:r w:rsidRPr="008017BB">
        <w:rPr>
          <w:rStyle w:val="Strong"/>
          <w:rFonts w:cstheme="minorHAnsi"/>
        </w:rPr>
        <w:t>.</w:t>
      </w:r>
    </w:p>
    <w:p w:rsidR="006075E7" w:rsidRPr="008017BB" w:rsidRDefault="00A34D3D" w:rsidP="00C210CA">
      <w:pPr>
        <w:spacing w:line="240" w:lineRule="auto"/>
        <w:jc w:val="both"/>
        <w:rPr>
          <w:rFonts w:cstheme="minorHAnsi"/>
          <w:bCs/>
          <w:i/>
        </w:rPr>
      </w:pPr>
      <w:r w:rsidRPr="008017BB">
        <w:rPr>
          <w:rFonts w:cstheme="minorHAnsi"/>
          <w:bCs/>
          <w:i/>
        </w:rPr>
        <w:t>Protection of</w:t>
      </w:r>
      <w:r w:rsidR="00FF3D8D" w:rsidRPr="008017BB">
        <w:rPr>
          <w:rFonts w:cstheme="minorHAnsi"/>
          <w:bCs/>
          <w:i/>
        </w:rPr>
        <w:t xml:space="preserve"> human rights and democra</w:t>
      </w:r>
      <w:r w:rsidR="00F3074C" w:rsidRPr="008017BB">
        <w:rPr>
          <w:rFonts w:cstheme="minorHAnsi"/>
          <w:bCs/>
          <w:i/>
        </w:rPr>
        <w:t>tic spaces at risk</w:t>
      </w:r>
    </w:p>
    <w:p w:rsidR="002B0FF8" w:rsidRPr="008017BB" w:rsidRDefault="00124B6F" w:rsidP="00C210CA">
      <w:pPr>
        <w:spacing w:line="240" w:lineRule="auto"/>
        <w:jc w:val="both"/>
        <w:rPr>
          <w:rFonts w:cstheme="minorHAnsi"/>
        </w:rPr>
      </w:pPr>
      <w:r w:rsidRPr="008017BB">
        <w:rPr>
          <w:rFonts w:cstheme="minorHAnsi"/>
        </w:rPr>
        <w:t xml:space="preserve">2015 was hostile to human rights </w:t>
      </w:r>
      <w:r w:rsidR="002B0FF8" w:rsidRPr="008017BB">
        <w:rPr>
          <w:rFonts w:cstheme="minorHAnsi"/>
        </w:rPr>
        <w:t xml:space="preserve">work in general and human rights defenders in particular </w:t>
      </w:r>
      <w:r w:rsidR="00A11B80" w:rsidRPr="008017BB">
        <w:rPr>
          <w:rFonts w:cstheme="minorHAnsi"/>
        </w:rPr>
        <w:t>in Kenya</w:t>
      </w:r>
      <w:r w:rsidR="00003E56" w:rsidRPr="008017BB">
        <w:rPr>
          <w:rFonts w:cstheme="minorHAnsi"/>
        </w:rPr>
        <w:t xml:space="preserve">. </w:t>
      </w:r>
      <w:r w:rsidR="00A11B80" w:rsidRPr="008017BB">
        <w:rPr>
          <w:rFonts w:cstheme="minorHAnsi"/>
        </w:rPr>
        <w:t>T</w:t>
      </w:r>
      <w:r w:rsidRPr="008017BB">
        <w:rPr>
          <w:rFonts w:cstheme="minorHAnsi"/>
        </w:rPr>
        <w:t>he government continued to display high levels of intolerance to criti</w:t>
      </w:r>
      <w:r w:rsidR="002B0FF8" w:rsidRPr="008017BB">
        <w:rPr>
          <w:rFonts w:cstheme="minorHAnsi"/>
        </w:rPr>
        <w:t>cism</w:t>
      </w:r>
      <w:r w:rsidR="00F43E35">
        <w:rPr>
          <w:rFonts w:cstheme="minorHAnsi"/>
        </w:rPr>
        <w:t>,</w:t>
      </w:r>
      <w:r w:rsidR="00665A3F">
        <w:rPr>
          <w:rFonts w:cstheme="minorHAnsi"/>
        </w:rPr>
        <w:t xml:space="preserve"> </w:t>
      </w:r>
      <w:r w:rsidR="002B0FF8" w:rsidRPr="008017BB">
        <w:rPr>
          <w:rFonts w:cstheme="minorHAnsi"/>
        </w:rPr>
        <w:t xml:space="preserve">especially with regard to some operations </w:t>
      </w:r>
      <w:r w:rsidRPr="008017BB">
        <w:rPr>
          <w:rFonts w:cstheme="minorHAnsi"/>
        </w:rPr>
        <w:t>related to</w:t>
      </w:r>
      <w:r w:rsidR="00003E56" w:rsidRPr="008017BB">
        <w:rPr>
          <w:rFonts w:cstheme="minorHAnsi"/>
        </w:rPr>
        <w:t xml:space="preserve"> </w:t>
      </w:r>
      <w:r w:rsidR="002B0FF8" w:rsidRPr="008017BB">
        <w:rPr>
          <w:rFonts w:cstheme="minorHAnsi"/>
        </w:rPr>
        <w:t>counterterrorism. I</w:t>
      </w:r>
      <w:r w:rsidR="00746679" w:rsidRPr="008017BB">
        <w:rPr>
          <w:rFonts w:cstheme="minorHAnsi"/>
        </w:rPr>
        <w:t xml:space="preserve">n addition, the government </w:t>
      </w:r>
      <w:r w:rsidR="00A11B80" w:rsidRPr="008017BB">
        <w:rPr>
          <w:rFonts w:cstheme="minorHAnsi"/>
        </w:rPr>
        <w:t xml:space="preserve">continued </w:t>
      </w:r>
      <w:r w:rsidR="00746679" w:rsidRPr="008017BB">
        <w:rPr>
          <w:rFonts w:cstheme="minorHAnsi"/>
        </w:rPr>
        <w:t xml:space="preserve">to erode </w:t>
      </w:r>
      <w:r w:rsidR="002B0FF8" w:rsidRPr="008017BB">
        <w:rPr>
          <w:rFonts w:cstheme="minorHAnsi"/>
        </w:rPr>
        <w:t>provisions of t</w:t>
      </w:r>
      <w:r w:rsidR="00746679" w:rsidRPr="008017BB">
        <w:rPr>
          <w:rFonts w:cstheme="minorHAnsi"/>
        </w:rPr>
        <w:t xml:space="preserve">he </w:t>
      </w:r>
      <w:r w:rsidR="00A11B80" w:rsidRPr="008017BB">
        <w:rPr>
          <w:rFonts w:cstheme="minorHAnsi"/>
        </w:rPr>
        <w:t xml:space="preserve">2010 </w:t>
      </w:r>
      <w:r w:rsidR="002B0FF8" w:rsidRPr="008017BB">
        <w:rPr>
          <w:rFonts w:cstheme="minorHAnsi"/>
        </w:rPr>
        <w:t>c</w:t>
      </w:r>
      <w:r w:rsidR="00A11B80" w:rsidRPr="008017BB">
        <w:rPr>
          <w:rFonts w:cstheme="minorHAnsi"/>
        </w:rPr>
        <w:t>onstitution</w:t>
      </w:r>
      <w:r w:rsidR="00746679" w:rsidRPr="008017BB">
        <w:rPr>
          <w:rFonts w:cstheme="minorHAnsi"/>
        </w:rPr>
        <w:t xml:space="preserve">. </w:t>
      </w:r>
      <w:r w:rsidR="00E266D6" w:rsidRPr="008017BB">
        <w:rPr>
          <w:rFonts w:cstheme="minorHAnsi"/>
        </w:rPr>
        <w:t>The yea</w:t>
      </w:r>
      <w:r w:rsidR="00665A3F">
        <w:rPr>
          <w:rFonts w:cstheme="minorHAnsi"/>
        </w:rPr>
        <w:t>r was also characterized by sky-high</w:t>
      </w:r>
      <w:r w:rsidR="00E266D6" w:rsidRPr="008017BB">
        <w:rPr>
          <w:rFonts w:cstheme="minorHAnsi"/>
        </w:rPr>
        <w:t xml:space="preserve"> levels of corruption and increasing tolerance for </w:t>
      </w:r>
      <w:r w:rsidR="00665A3F">
        <w:rPr>
          <w:rFonts w:cstheme="minorHAnsi"/>
        </w:rPr>
        <w:t xml:space="preserve">reported </w:t>
      </w:r>
      <w:r w:rsidR="00E266D6" w:rsidRPr="008017BB">
        <w:rPr>
          <w:rFonts w:cstheme="minorHAnsi"/>
        </w:rPr>
        <w:t>hate speech.</w:t>
      </w:r>
      <w:r w:rsidR="00665A3F">
        <w:rPr>
          <w:rFonts w:cstheme="minorHAnsi"/>
        </w:rPr>
        <w:t xml:space="preserve"> </w:t>
      </w:r>
      <w:r w:rsidRPr="008017BB">
        <w:rPr>
          <w:rFonts w:cstheme="minorHAnsi"/>
        </w:rPr>
        <w:t xml:space="preserve"> </w:t>
      </w:r>
    </w:p>
    <w:p w:rsidR="00124B6F" w:rsidRPr="008017BB" w:rsidRDefault="00124B6F" w:rsidP="00C210CA">
      <w:pPr>
        <w:spacing w:line="240" w:lineRule="auto"/>
        <w:jc w:val="both"/>
        <w:rPr>
          <w:rFonts w:cstheme="minorHAnsi"/>
        </w:rPr>
      </w:pPr>
      <w:r w:rsidRPr="008017BB">
        <w:rPr>
          <w:rFonts w:cstheme="minorHAnsi"/>
        </w:rPr>
        <w:t>Some examples of government action that violated rights, threatened or close</w:t>
      </w:r>
      <w:r w:rsidR="00003E56" w:rsidRPr="008017BB">
        <w:rPr>
          <w:rFonts w:cstheme="minorHAnsi"/>
        </w:rPr>
        <w:t>d civic spaces and/or</w:t>
      </w:r>
      <w:r w:rsidRPr="008017BB">
        <w:rPr>
          <w:rFonts w:cstheme="minorHAnsi"/>
        </w:rPr>
        <w:t xml:space="preserve"> resulted in constitutional reversals include: </w:t>
      </w:r>
    </w:p>
    <w:p w:rsidR="00124B6F" w:rsidRPr="00F366F6" w:rsidRDefault="00124B6F" w:rsidP="00F366F6">
      <w:pPr>
        <w:pStyle w:val="ListParagraph"/>
        <w:numPr>
          <w:ilvl w:val="0"/>
          <w:numId w:val="28"/>
        </w:numPr>
        <w:spacing w:line="240" w:lineRule="auto"/>
        <w:jc w:val="both"/>
        <w:rPr>
          <w:rFonts w:cstheme="minorHAnsi"/>
        </w:rPr>
      </w:pPr>
      <w:r w:rsidRPr="00F366F6">
        <w:rPr>
          <w:rFonts w:cstheme="minorHAnsi"/>
        </w:rPr>
        <w:t>In April 2015</w:t>
      </w:r>
      <w:r w:rsidR="00703295" w:rsidRPr="00F366F6">
        <w:rPr>
          <w:rFonts w:cstheme="minorHAnsi"/>
        </w:rPr>
        <w:t xml:space="preserve"> the government</w:t>
      </w:r>
      <w:r w:rsidRPr="00F366F6">
        <w:rPr>
          <w:rFonts w:cstheme="minorHAnsi"/>
        </w:rPr>
        <w:t xml:space="preserve"> named</w:t>
      </w:r>
      <w:r w:rsidR="00D429B5" w:rsidRPr="00F366F6">
        <w:rPr>
          <w:rFonts w:cstheme="minorHAnsi"/>
        </w:rPr>
        <w:t xml:space="preserve"> and threatened to deregister</w:t>
      </w:r>
      <w:r w:rsidRPr="00F366F6">
        <w:rPr>
          <w:rFonts w:cstheme="minorHAnsi"/>
        </w:rPr>
        <w:t xml:space="preserve"> </w:t>
      </w:r>
      <w:r w:rsidR="002B0FF8" w:rsidRPr="00F366F6">
        <w:rPr>
          <w:rFonts w:cstheme="minorHAnsi"/>
        </w:rPr>
        <w:t xml:space="preserve">OSIEA grantees </w:t>
      </w:r>
      <w:r w:rsidRPr="00F366F6">
        <w:rPr>
          <w:rFonts w:cstheme="minorHAnsi"/>
        </w:rPr>
        <w:t xml:space="preserve">Haki Afrika and </w:t>
      </w:r>
      <w:r w:rsidR="00EF35B6" w:rsidRPr="00F366F6">
        <w:rPr>
          <w:rFonts w:cstheme="minorHAnsi"/>
        </w:rPr>
        <w:t>Muslims for Human Rights (</w:t>
      </w:r>
      <w:r w:rsidRPr="00F366F6">
        <w:rPr>
          <w:rFonts w:cstheme="minorHAnsi"/>
        </w:rPr>
        <w:t>MUHURI</w:t>
      </w:r>
      <w:r w:rsidR="00EF35B6" w:rsidRPr="00F366F6">
        <w:rPr>
          <w:rFonts w:cstheme="minorHAnsi"/>
        </w:rPr>
        <w:t>)</w:t>
      </w:r>
      <w:r w:rsidRPr="00F366F6">
        <w:rPr>
          <w:rFonts w:cstheme="minorHAnsi"/>
        </w:rPr>
        <w:t xml:space="preserve"> as specified entities under </w:t>
      </w:r>
      <w:r w:rsidR="006217EC" w:rsidRPr="00F366F6">
        <w:rPr>
          <w:rFonts w:cstheme="minorHAnsi"/>
        </w:rPr>
        <w:t>the Prevention</w:t>
      </w:r>
      <w:r w:rsidRPr="00F366F6">
        <w:rPr>
          <w:rFonts w:cstheme="minorHAnsi"/>
        </w:rPr>
        <w:t xml:space="preserve"> of Terrorism Act</w:t>
      </w:r>
      <w:r w:rsidR="00251E53" w:rsidRPr="00F366F6">
        <w:rPr>
          <w:rFonts w:cstheme="minorHAnsi"/>
        </w:rPr>
        <w:t xml:space="preserve">;  </w:t>
      </w:r>
    </w:p>
    <w:p w:rsidR="00124B6F" w:rsidRPr="00F366F6" w:rsidRDefault="00124B6F" w:rsidP="00F366F6">
      <w:pPr>
        <w:pStyle w:val="ListParagraph"/>
        <w:numPr>
          <w:ilvl w:val="0"/>
          <w:numId w:val="28"/>
        </w:numPr>
        <w:spacing w:line="240" w:lineRule="auto"/>
        <w:jc w:val="both"/>
        <w:rPr>
          <w:rFonts w:cstheme="minorHAnsi"/>
        </w:rPr>
      </w:pPr>
      <w:r w:rsidRPr="00F366F6">
        <w:rPr>
          <w:rFonts w:cstheme="minorHAnsi"/>
        </w:rPr>
        <w:t xml:space="preserve">In October 2015 </w:t>
      </w:r>
      <w:r w:rsidR="009539E5" w:rsidRPr="00F366F6">
        <w:rPr>
          <w:rFonts w:cstheme="minorHAnsi"/>
        </w:rPr>
        <w:t xml:space="preserve">the government </w:t>
      </w:r>
      <w:r w:rsidRPr="00F366F6">
        <w:rPr>
          <w:rFonts w:cstheme="minorHAnsi"/>
        </w:rPr>
        <w:t xml:space="preserve">gave notice of </w:t>
      </w:r>
      <w:r w:rsidR="009539E5" w:rsidRPr="00F366F6">
        <w:rPr>
          <w:rFonts w:cstheme="minorHAnsi"/>
        </w:rPr>
        <w:t xml:space="preserve">its </w:t>
      </w:r>
      <w:r w:rsidRPr="00F366F6">
        <w:rPr>
          <w:rFonts w:cstheme="minorHAnsi"/>
        </w:rPr>
        <w:t xml:space="preserve">intention to deregister 939 NGOs; </w:t>
      </w:r>
    </w:p>
    <w:p w:rsidR="00124B6F" w:rsidRPr="00F366F6" w:rsidRDefault="00251E53" w:rsidP="00F366F6">
      <w:pPr>
        <w:pStyle w:val="ListParagraph"/>
        <w:numPr>
          <w:ilvl w:val="0"/>
          <w:numId w:val="28"/>
        </w:numPr>
        <w:spacing w:line="240" w:lineRule="auto"/>
        <w:jc w:val="both"/>
        <w:rPr>
          <w:rFonts w:cstheme="minorHAnsi"/>
        </w:rPr>
      </w:pPr>
      <w:r w:rsidRPr="00F366F6">
        <w:rPr>
          <w:rFonts w:cstheme="minorHAnsi"/>
        </w:rPr>
        <w:t>A reintroduction of the unpopular</w:t>
      </w:r>
      <w:r w:rsidR="00124B6F" w:rsidRPr="00F366F6">
        <w:rPr>
          <w:rFonts w:cstheme="minorHAnsi"/>
        </w:rPr>
        <w:t xml:space="preserve"> amendments to the Pu</w:t>
      </w:r>
      <w:r w:rsidRPr="00F366F6">
        <w:rPr>
          <w:rFonts w:cstheme="minorHAnsi"/>
        </w:rPr>
        <w:t>blic Benefit</w:t>
      </w:r>
      <w:r w:rsidR="00EF35B6" w:rsidRPr="00F366F6">
        <w:rPr>
          <w:rFonts w:cstheme="minorHAnsi"/>
        </w:rPr>
        <w:t>s</w:t>
      </w:r>
      <w:r w:rsidRPr="00F366F6">
        <w:rPr>
          <w:rFonts w:cstheme="minorHAnsi"/>
        </w:rPr>
        <w:t xml:space="preserve"> Organizations </w:t>
      </w:r>
      <w:r w:rsidR="00EF35B6" w:rsidRPr="00F366F6">
        <w:rPr>
          <w:rFonts w:cstheme="minorHAnsi"/>
        </w:rPr>
        <w:t xml:space="preserve">(PBO) </w:t>
      </w:r>
      <w:r w:rsidR="00124B6F" w:rsidRPr="00F366F6">
        <w:rPr>
          <w:rFonts w:cstheme="minorHAnsi"/>
        </w:rPr>
        <w:t>Act 2013;</w:t>
      </w:r>
      <w:r w:rsidR="009539E5" w:rsidRPr="00F366F6">
        <w:rPr>
          <w:rFonts w:cstheme="minorHAnsi"/>
        </w:rPr>
        <w:t xml:space="preserve"> and, </w:t>
      </w:r>
      <w:r w:rsidR="00124B6F" w:rsidRPr="00F366F6">
        <w:rPr>
          <w:rFonts w:cstheme="minorHAnsi"/>
        </w:rPr>
        <w:t xml:space="preserve"> </w:t>
      </w:r>
    </w:p>
    <w:p w:rsidR="00124B6F" w:rsidRPr="00F366F6" w:rsidRDefault="00124B6F" w:rsidP="00F366F6">
      <w:pPr>
        <w:pStyle w:val="ListParagraph"/>
        <w:numPr>
          <w:ilvl w:val="0"/>
          <w:numId w:val="28"/>
        </w:numPr>
        <w:spacing w:line="240" w:lineRule="auto"/>
        <w:jc w:val="both"/>
        <w:rPr>
          <w:rFonts w:cstheme="minorHAnsi"/>
        </w:rPr>
      </w:pPr>
      <w:r w:rsidRPr="00F366F6">
        <w:rPr>
          <w:rFonts w:cstheme="minorHAnsi"/>
        </w:rPr>
        <w:t>Amendments to the National Police Service Act 2011</w:t>
      </w:r>
      <w:r w:rsidR="00F43E35" w:rsidRPr="00F366F6">
        <w:rPr>
          <w:rFonts w:cstheme="minorHAnsi"/>
        </w:rPr>
        <w:t xml:space="preserve"> </w:t>
      </w:r>
      <w:r w:rsidRPr="00F366F6">
        <w:rPr>
          <w:rFonts w:cstheme="minorHAnsi"/>
        </w:rPr>
        <w:t>and the Independent Policing Oversight Authority Act 2011 to reinstate powers that had  been removed from the Presidency by the 2010 Constitution</w:t>
      </w:r>
      <w:r w:rsidR="00003E56" w:rsidRPr="00F366F6">
        <w:rPr>
          <w:rFonts w:cstheme="minorHAnsi"/>
        </w:rPr>
        <w:t xml:space="preserve"> thereby strengthening executive control of the sector and weakening civilian oversight and accountability mechanisms.</w:t>
      </w:r>
      <w:r w:rsidR="009539E5" w:rsidRPr="00F366F6">
        <w:rPr>
          <w:rFonts w:cstheme="minorHAnsi"/>
        </w:rPr>
        <w:t xml:space="preserve">  </w:t>
      </w:r>
      <w:r w:rsidRPr="00F366F6">
        <w:rPr>
          <w:rFonts w:cstheme="minorHAnsi"/>
        </w:rPr>
        <w:t xml:space="preserve"> </w:t>
      </w:r>
    </w:p>
    <w:p w:rsidR="008A6FB1" w:rsidRPr="008017BB" w:rsidRDefault="00537048" w:rsidP="00C210CA">
      <w:pPr>
        <w:spacing w:line="240" w:lineRule="auto"/>
        <w:jc w:val="both"/>
        <w:rPr>
          <w:rFonts w:cstheme="minorHAnsi"/>
          <w:color w:val="000000" w:themeColor="text1"/>
        </w:rPr>
      </w:pPr>
      <w:r w:rsidRPr="008017BB">
        <w:rPr>
          <w:rFonts w:cstheme="minorHAnsi"/>
          <w:color w:val="000000" w:themeColor="text1"/>
        </w:rPr>
        <w:t xml:space="preserve">OSIEA </w:t>
      </w:r>
      <w:r w:rsidR="00F6152D" w:rsidRPr="008017BB">
        <w:rPr>
          <w:rFonts w:cstheme="minorHAnsi"/>
          <w:color w:val="000000" w:themeColor="text1"/>
        </w:rPr>
        <w:t>supported public interest litigation, legal aid for human rights defenders and technical support for CSOs and national institutions such as the ju</w:t>
      </w:r>
      <w:r w:rsidR="00966443" w:rsidRPr="008017BB">
        <w:rPr>
          <w:rFonts w:cstheme="minorHAnsi"/>
          <w:color w:val="000000" w:themeColor="text1"/>
        </w:rPr>
        <w:t>diciary</w:t>
      </w:r>
      <w:r w:rsidRPr="008017BB">
        <w:rPr>
          <w:rFonts w:cstheme="minorHAnsi"/>
          <w:color w:val="000000" w:themeColor="text1"/>
        </w:rPr>
        <w:t xml:space="preserve"> in order to protect human </w:t>
      </w:r>
      <w:r w:rsidR="00FA4457" w:rsidRPr="008017BB">
        <w:rPr>
          <w:rFonts w:cstheme="minorHAnsi"/>
          <w:color w:val="000000" w:themeColor="text1"/>
        </w:rPr>
        <w:t>rights and</w:t>
      </w:r>
      <w:r w:rsidRPr="008017BB">
        <w:rPr>
          <w:rFonts w:cstheme="minorHAnsi"/>
          <w:color w:val="000000" w:themeColor="text1"/>
        </w:rPr>
        <w:t xml:space="preserve"> democratic spaces at risk</w:t>
      </w:r>
      <w:r w:rsidR="00966443" w:rsidRPr="008017BB">
        <w:rPr>
          <w:rFonts w:cstheme="minorHAnsi"/>
          <w:color w:val="000000" w:themeColor="text1"/>
        </w:rPr>
        <w:t xml:space="preserve">. </w:t>
      </w:r>
      <w:r w:rsidR="00F6152D" w:rsidRPr="008017BB">
        <w:rPr>
          <w:rFonts w:cstheme="minorHAnsi"/>
          <w:color w:val="000000" w:themeColor="text1"/>
        </w:rPr>
        <w:t xml:space="preserve"> </w:t>
      </w:r>
      <w:r w:rsidRPr="008017BB">
        <w:rPr>
          <w:rFonts w:cstheme="minorHAnsi"/>
          <w:color w:val="000000" w:themeColor="text1"/>
        </w:rPr>
        <w:t>It also supported</w:t>
      </w:r>
      <w:r w:rsidR="005B3881" w:rsidRPr="008017BB">
        <w:rPr>
          <w:rFonts w:cstheme="minorHAnsi"/>
          <w:color w:val="000000" w:themeColor="text1"/>
        </w:rPr>
        <w:t xml:space="preserve"> advocacy for progressive legislation that enables the realization of rights.</w:t>
      </w:r>
    </w:p>
    <w:p w:rsidR="00AB5605" w:rsidRPr="008017BB" w:rsidRDefault="00AB5605" w:rsidP="00C210CA">
      <w:pPr>
        <w:spacing w:line="240" w:lineRule="auto"/>
        <w:jc w:val="both"/>
        <w:rPr>
          <w:rFonts w:cstheme="minorHAnsi"/>
          <w:bCs/>
        </w:rPr>
      </w:pPr>
      <w:r w:rsidRPr="008017BB">
        <w:rPr>
          <w:rFonts w:cstheme="minorHAnsi"/>
          <w:bCs/>
          <w:i/>
        </w:rPr>
        <w:t>Public Interest Litigation</w:t>
      </w:r>
    </w:p>
    <w:p w:rsidR="00BF65C2" w:rsidRPr="008017BB" w:rsidRDefault="00CD7B2B" w:rsidP="00C210CA">
      <w:pPr>
        <w:spacing w:line="240" w:lineRule="auto"/>
        <w:jc w:val="both"/>
        <w:rPr>
          <w:rFonts w:cstheme="minorHAnsi"/>
          <w:bCs/>
          <w:i/>
        </w:rPr>
      </w:pPr>
      <w:r w:rsidRPr="008017BB">
        <w:rPr>
          <w:rFonts w:cstheme="minorHAnsi"/>
          <w:bCs/>
        </w:rPr>
        <w:t xml:space="preserve">In 2015 </w:t>
      </w:r>
      <w:r w:rsidR="005A05F0" w:rsidRPr="008017BB">
        <w:rPr>
          <w:rFonts w:cstheme="minorHAnsi"/>
          <w:bCs/>
        </w:rPr>
        <w:t xml:space="preserve">OSIEA supported ground breaking litigation </w:t>
      </w:r>
      <w:r w:rsidR="00E123D5" w:rsidRPr="008017BB">
        <w:rPr>
          <w:rFonts w:cstheme="minorHAnsi"/>
          <w:color w:val="000000" w:themeColor="text1"/>
        </w:rPr>
        <w:t>that resulted in the courts declaring a number of laws and state actions unconstitut</w:t>
      </w:r>
      <w:r w:rsidR="002730EB" w:rsidRPr="008017BB">
        <w:rPr>
          <w:rFonts w:cstheme="minorHAnsi"/>
          <w:color w:val="000000" w:themeColor="text1"/>
        </w:rPr>
        <w:t xml:space="preserve">ional. </w:t>
      </w:r>
      <w:r w:rsidR="006075E7" w:rsidRPr="008017BB">
        <w:rPr>
          <w:rFonts w:cstheme="minorHAnsi"/>
          <w:color w:val="000000" w:themeColor="text1"/>
        </w:rPr>
        <w:t>This</w:t>
      </w:r>
      <w:r w:rsidR="002730EB" w:rsidRPr="008017BB">
        <w:rPr>
          <w:rFonts w:cstheme="minorHAnsi"/>
          <w:color w:val="000000" w:themeColor="text1"/>
        </w:rPr>
        <w:t xml:space="preserve"> included litigation </w:t>
      </w:r>
      <w:r w:rsidR="006075E7" w:rsidRPr="008017BB">
        <w:rPr>
          <w:rFonts w:cstheme="minorHAnsi"/>
          <w:color w:val="000000" w:themeColor="text1"/>
        </w:rPr>
        <w:t>that</w:t>
      </w:r>
      <w:r w:rsidR="002730EB" w:rsidRPr="008017BB">
        <w:rPr>
          <w:rFonts w:cstheme="minorHAnsi"/>
          <w:color w:val="000000" w:themeColor="text1"/>
        </w:rPr>
        <w:t>:</w:t>
      </w:r>
    </w:p>
    <w:p w:rsidR="00E87E8D" w:rsidRPr="00E87E8D" w:rsidRDefault="006075E7" w:rsidP="00F366F6">
      <w:pPr>
        <w:pStyle w:val="NormalWeb"/>
        <w:numPr>
          <w:ilvl w:val="0"/>
          <w:numId w:val="29"/>
        </w:numPr>
        <w:spacing w:before="0" w:beforeAutospacing="0" w:after="0" w:afterAutospacing="0"/>
        <w:jc w:val="both"/>
        <w:rPr>
          <w:rFonts w:asciiTheme="minorHAnsi" w:hAnsiTheme="minorHAnsi" w:cstheme="minorHAnsi"/>
          <w:color w:val="000000" w:themeColor="text1"/>
          <w:sz w:val="22"/>
          <w:szCs w:val="22"/>
        </w:rPr>
      </w:pPr>
      <w:r w:rsidRPr="00E87E8D">
        <w:rPr>
          <w:rFonts w:asciiTheme="minorHAnsi" w:hAnsiTheme="minorHAnsi" w:cstheme="minorHAnsi"/>
          <w:color w:val="000000" w:themeColor="text1"/>
          <w:sz w:val="22"/>
          <w:szCs w:val="22"/>
        </w:rPr>
        <w:t xml:space="preserve">Declared a number of provisions under the </w:t>
      </w:r>
      <w:r w:rsidR="00E123D5" w:rsidRPr="00E87E8D">
        <w:rPr>
          <w:rFonts w:asciiTheme="minorHAnsi" w:hAnsiTheme="minorHAnsi" w:cstheme="minorHAnsi"/>
          <w:color w:val="000000" w:themeColor="text1"/>
          <w:sz w:val="22"/>
          <w:szCs w:val="22"/>
        </w:rPr>
        <w:t>Security Laws Amendment Act (SLAA)</w:t>
      </w:r>
      <w:r w:rsidR="00166D17" w:rsidRPr="00E87E8D">
        <w:rPr>
          <w:rFonts w:asciiTheme="minorHAnsi" w:hAnsiTheme="minorHAnsi" w:cstheme="minorHAnsi"/>
          <w:color w:val="000000" w:themeColor="text1"/>
          <w:sz w:val="22"/>
          <w:szCs w:val="22"/>
        </w:rPr>
        <w:t xml:space="preserve"> </w:t>
      </w:r>
      <w:r w:rsidRPr="00E87E8D">
        <w:rPr>
          <w:rFonts w:asciiTheme="minorHAnsi" w:hAnsiTheme="minorHAnsi" w:cstheme="minorHAnsi"/>
          <w:color w:val="000000" w:themeColor="text1"/>
          <w:sz w:val="22"/>
          <w:szCs w:val="22"/>
        </w:rPr>
        <w:t>2014 unconstituti</w:t>
      </w:r>
      <w:r w:rsidR="00166D17" w:rsidRPr="00E87E8D">
        <w:rPr>
          <w:rFonts w:asciiTheme="minorHAnsi" w:hAnsiTheme="minorHAnsi" w:cstheme="minorHAnsi"/>
          <w:color w:val="000000" w:themeColor="text1"/>
          <w:sz w:val="22"/>
          <w:szCs w:val="22"/>
        </w:rPr>
        <w:t>onal.</w:t>
      </w:r>
      <w:r w:rsidR="00B44AF7" w:rsidRPr="00E87E8D">
        <w:rPr>
          <w:rFonts w:asciiTheme="minorHAnsi" w:eastAsia="Times New Roman" w:hAnsiTheme="minorHAnsi" w:cstheme="minorHAnsi"/>
          <w:sz w:val="22"/>
          <w:szCs w:val="22"/>
        </w:rPr>
        <w:t xml:space="preserve"> </w:t>
      </w:r>
      <w:r w:rsidR="00166D17" w:rsidRPr="00E87E8D">
        <w:rPr>
          <w:rFonts w:asciiTheme="minorHAnsi" w:eastAsia="Times New Roman" w:hAnsiTheme="minorHAnsi" w:cstheme="minorHAnsi"/>
          <w:sz w:val="22"/>
          <w:szCs w:val="22"/>
        </w:rPr>
        <w:t xml:space="preserve">The security </w:t>
      </w:r>
      <w:r w:rsidR="002B0FF8" w:rsidRPr="00E87E8D">
        <w:rPr>
          <w:rFonts w:asciiTheme="minorHAnsi" w:eastAsia="Times New Roman" w:hAnsiTheme="minorHAnsi" w:cstheme="minorHAnsi"/>
          <w:sz w:val="22"/>
          <w:szCs w:val="22"/>
        </w:rPr>
        <w:t>amendments had expanded police stop-and-</w:t>
      </w:r>
      <w:r w:rsidR="00166D17" w:rsidRPr="00E87E8D">
        <w:rPr>
          <w:rFonts w:asciiTheme="minorHAnsi" w:eastAsia="Times New Roman" w:hAnsiTheme="minorHAnsi" w:cstheme="minorHAnsi"/>
          <w:sz w:val="22"/>
          <w:szCs w:val="22"/>
        </w:rPr>
        <w:t xml:space="preserve">search powers, restricted freedom of expression and assembly and </w:t>
      </w:r>
      <w:r w:rsidR="002B0FF8" w:rsidRPr="00E87E8D">
        <w:rPr>
          <w:rFonts w:asciiTheme="minorHAnsi" w:eastAsia="Times New Roman" w:hAnsiTheme="minorHAnsi" w:cstheme="minorHAnsi"/>
          <w:sz w:val="22"/>
          <w:szCs w:val="22"/>
        </w:rPr>
        <w:t xml:space="preserve">purported </w:t>
      </w:r>
      <w:r w:rsidR="00B44AF7" w:rsidRPr="00E87E8D">
        <w:rPr>
          <w:rFonts w:asciiTheme="minorHAnsi" w:eastAsia="Times New Roman" w:hAnsiTheme="minorHAnsi" w:cstheme="minorHAnsi"/>
          <w:sz w:val="22"/>
          <w:szCs w:val="22"/>
        </w:rPr>
        <w:t xml:space="preserve">to </w:t>
      </w:r>
      <w:r w:rsidR="00166D17" w:rsidRPr="00E87E8D">
        <w:rPr>
          <w:rFonts w:asciiTheme="minorHAnsi" w:eastAsia="Times New Roman" w:hAnsiTheme="minorHAnsi" w:cstheme="minorHAnsi"/>
          <w:sz w:val="22"/>
          <w:szCs w:val="22"/>
        </w:rPr>
        <w:t xml:space="preserve">permit pretrial detention for 90 days for terrorism </w:t>
      </w:r>
      <w:r w:rsidR="00E6586B" w:rsidRPr="00E87E8D">
        <w:rPr>
          <w:rFonts w:asciiTheme="minorHAnsi" w:eastAsia="Times New Roman" w:hAnsiTheme="minorHAnsi" w:cstheme="minorHAnsi"/>
          <w:sz w:val="22"/>
          <w:szCs w:val="22"/>
        </w:rPr>
        <w:t>suspects;</w:t>
      </w:r>
    </w:p>
    <w:p w:rsidR="006075E7" w:rsidRPr="00E87E8D" w:rsidRDefault="006075E7" w:rsidP="00F366F6">
      <w:pPr>
        <w:pStyle w:val="NormalWeb"/>
        <w:numPr>
          <w:ilvl w:val="0"/>
          <w:numId w:val="29"/>
        </w:numPr>
        <w:spacing w:before="0" w:beforeAutospacing="0" w:after="0" w:afterAutospacing="0"/>
        <w:jc w:val="both"/>
        <w:rPr>
          <w:rFonts w:asciiTheme="minorHAnsi" w:hAnsiTheme="minorHAnsi" w:cstheme="minorHAnsi"/>
          <w:color w:val="000000" w:themeColor="text1"/>
          <w:sz w:val="22"/>
          <w:szCs w:val="22"/>
        </w:rPr>
      </w:pPr>
      <w:r w:rsidRPr="00E87E8D">
        <w:rPr>
          <w:rFonts w:asciiTheme="minorHAnsi" w:hAnsiTheme="minorHAnsi" w:cstheme="minorHAnsi"/>
          <w:color w:val="000000" w:themeColor="text1"/>
          <w:sz w:val="22"/>
          <w:szCs w:val="22"/>
        </w:rPr>
        <w:t>Obtained a d</w:t>
      </w:r>
      <w:r w:rsidR="00E123D5" w:rsidRPr="00E87E8D">
        <w:rPr>
          <w:rFonts w:asciiTheme="minorHAnsi" w:hAnsiTheme="minorHAnsi" w:cstheme="minorHAnsi"/>
          <w:color w:val="000000" w:themeColor="text1"/>
          <w:sz w:val="22"/>
          <w:szCs w:val="22"/>
        </w:rPr>
        <w:t>eclaration that failure to register the National Gay and Lesbian Human Rights Commission</w:t>
      </w:r>
      <w:r w:rsidR="00F43E35" w:rsidRPr="00E87E8D">
        <w:rPr>
          <w:rFonts w:asciiTheme="minorHAnsi" w:hAnsiTheme="minorHAnsi" w:cstheme="minorHAnsi"/>
          <w:color w:val="000000" w:themeColor="text1"/>
          <w:sz w:val="22"/>
          <w:szCs w:val="22"/>
        </w:rPr>
        <w:t xml:space="preserve"> (NGLHRC)</w:t>
      </w:r>
      <w:r w:rsidR="00E123D5" w:rsidRPr="00E87E8D">
        <w:rPr>
          <w:rFonts w:asciiTheme="minorHAnsi" w:hAnsiTheme="minorHAnsi" w:cstheme="minorHAnsi"/>
          <w:color w:val="000000" w:themeColor="text1"/>
          <w:sz w:val="22"/>
          <w:szCs w:val="22"/>
        </w:rPr>
        <w:t xml:space="preserve"> was unconstitutional;  </w:t>
      </w:r>
    </w:p>
    <w:p w:rsidR="006075E7" w:rsidRPr="008017BB" w:rsidRDefault="00F85CD8" w:rsidP="00F366F6">
      <w:pPr>
        <w:pStyle w:val="NormalWeb"/>
        <w:numPr>
          <w:ilvl w:val="0"/>
          <w:numId w:val="29"/>
        </w:numPr>
        <w:spacing w:before="0" w:beforeAutospacing="0" w:after="0" w:afterAutospacing="0"/>
        <w:jc w:val="both"/>
        <w:rPr>
          <w:rFonts w:asciiTheme="minorHAnsi" w:hAnsiTheme="minorHAnsi" w:cstheme="minorHAnsi"/>
          <w:color w:val="000000" w:themeColor="text1"/>
          <w:sz w:val="22"/>
          <w:szCs w:val="22"/>
        </w:rPr>
      </w:pPr>
      <w:r w:rsidRPr="008017BB">
        <w:rPr>
          <w:rFonts w:asciiTheme="minorHAnsi" w:hAnsiTheme="minorHAnsi" w:cstheme="minorHAnsi"/>
          <w:color w:val="000000" w:themeColor="text1"/>
          <w:sz w:val="22"/>
          <w:szCs w:val="22"/>
        </w:rPr>
        <w:t>Q</w:t>
      </w:r>
      <w:r w:rsidR="001F61DA" w:rsidRPr="008017BB">
        <w:rPr>
          <w:rFonts w:asciiTheme="minorHAnsi" w:hAnsiTheme="minorHAnsi" w:cstheme="minorHAnsi"/>
          <w:color w:val="000000" w:themeColor="text1"/>
          <w:sz w:val="22"/>
          <w:szCs w:val="22"/>
        </w:rPr>
        <w:t>uashed</w:t>
      </w:r>
      <w:r w:rsidR="008A1B19" w:rsidRPr="008017BB">
        <w:rPr>
          <w:rFonts w:asciiTheme="minorHAnsi" w:hAnsiTheme="minorHAnsi" w:cstheme="minorHAnsi"/>
          <w:color w:val="000000" w:themeColor="text1"/>
          <w:sz w:val="22"/>
          <w:szCs w:val="22"/>
        </w:rPr>
        <w:t xml:space="preserve"> </w:t>
      </w:r>
      <w:r w:rsidR="00E123D5" w:rsidRPr="008017BB">
        <w:rPr>
          <w:rFonts w:asciiTheme="minorHAnsi" w:hAnsiTheme="minorHAnsi" w:cstheme="minorHAnsi"/>
          <w:color w:val="000000" w:themeColor="text1"/>
          <w:sz w:val="22"/>
          <w:szCs w:val="22"/>
        </w:rPr>
        <w:t xml:space="preserve">the action of the Inspector General of Police to declare his intent to </w:t>
      </w:r>
      <w:r w:rsidR="008A1B19" w:rsidRPr="008017BB">
        <w:rPr>
          <w:rFonts w:asciiTheme="minorHAnsi" w:hAnsiTheme="minorHAnsi" w:cstheme="minorHAnsi"/>
          <w:color w:val="000000" w:themeColor="text1"/>
          <w:sz w:val="22"/>
          <w:szCs w:val="22"/>
        </w:rPr>
        <w:t xml:space="preserve">deregister </w:t>
      </w:r>
      <w:r w:rsidR="001F61DA" w:rsidRPr="008017BB">
        <w:rPr>
          <w:rFonts w:asciiTheme="minorHAnsi" w:hAnsiTheme="minorHAnsi" w:cstheme="minorHAnsi"/>
          <w:color w:val="000000" w:themeColor="text1"/>
          <w:sz w:val="22"/>
          <w:szCs w:val="22"/>
        </w:rPr>
        <w:t>MUHURI</w:t>
      </w:r>
      <w:r w:rsidR="00E123D5" w:rsidRPr="008017BB">
        <w:rPr>
          <w:rFonts w:asciiTheme="minorHAnsi" w:hAnsiTheme="minorHAnsi" w:cstheme="minorHAnsi"/>
          <w:color w:val="000000" w:themeColor="text1"/>
          <w:sz w:val="22"/>
          <w:szCs w:val="22"/>
        </w:rPr>
        <w:t xml:space="preserve"> and</w:t>
      </w:r>
      <w:r w:rsidR="00EA7435" w:rsidRPr="008017BB">
        <w:rPr>
          <w:rFonts w:asciiTheme="minorHAnsi" w:hAnsiTheme="minorHAnsi" w:cstheme="minorHAnsi"/>
          <w:color w:val="000000" w:themeColor="text1"/>
          <w:sz w:val="22"/>
          <w:szCs w:val="22"/>
        </w:rPr>
        <w:t xml:space="preserve"> Haki Africa </w:t>
      </w:r>
      <w:r w:rsidR="008A1B19" w:rsidRPr="008017BB">
        <w:rPr>
          <w:rFonts w:asciiTheme="minorHAnsi" w:hAnsiTheme="minorHAnsi" w:cstheme="minorHAnsi"/>
          <w:color w:val="000000" w:themeColor="text1"/>
          <w:sz w:val="22"/>
          <w:szCs w:val="22"/>
        </w:rPr>
        <w:t xml:space="preserve"> </w:t>
      </w:r>
      <w:r w:rsidR="00E239A0">
        <w:rPr>
          <w:rFonts w:asciiTheme="minorHAnsi" w:hAnsiTheme="minorHAnsi" w:cstheme="minorHAnsi"/>
          <w:color w:val="000000" w:themeColor="text1"/>
          <w:sz w:val="22"/>
          <w:szCs w:val="22"/>
        </w:rPr>
        <w:t>as</w:t>
      </w:r>
      <w:r w:rsidR="001F61DA" w:rsidRPr="008017BB">
        <w:rPr>
          <w:rFonts w:asciiTheme="minorHAnsi" w:hAnsiTheme="minorHAnsi" w:cstheme="minorHAnsi"/>
          <w:color w:val="000000" w:themeColor="text1"/>
          <w:sz w:val="22"/>
          <w:szCs w:val="22"/>
        </w:rPr>
        <w:t xml:space="preserve"> </w:t>
      </w:r>
      <w:r w:rsidR="00E123D5" w:rsidRPr="008017BB">
        <w:rPr>
          <w:rFonts w:asciiTheme="minorHAnsi" w:hAnsiTheme="minorHAnsi" w:cstheme="minorHAnsi"/>
          <w:color w:val="000000" w:themeColor="text1"/>
          <w:sz w:val="22"/>
          <w:szCs w:val="22"/>
        </w:rPr>
        <w:t xml:space="preserve">unconstitutional; </w:t>
      </w:r>
    </w:p>
    <w:p w:rsidR="00276B1D" w:rsidRPr="008017BB" w:rsidRDefault="00E060D8" w:rsidP="00F366F6">
      <w:pPr>
        <w:pStyle w:val="NormalWeb"/>
        <w:numPr>
          <w:ilvl w:val="0"/>
          <w:numId w:val="29"/>
        </w:numPr>
        <w:spacing w:before="0" w:beforeAutospacing="0" w:after="0" w:afterAutospacing="0"/>
        <w:jc w:val="both"/>
        <w:rPr>
          <w:rFonts w:asciiTheme="minorHAnsi" w:hAnsiTheme="minorHAnsi" w:cstheme="minorHAnsi"/>
          <w:color w:val="000000" w:themeColor="text1"/>
          <w:sz w:val="22"/>
          <w:szCs w:val="22"/>
        </w:rPr>
      </w:pPr>
      <w:r w:rsidRPr="008017BB">
        <w:rPr>
          <w:rFonts w:asciiTheme="minorHAnsi" w:hAnsiTheme="minorHAnsi" w:cstheme="minorHAnsi"/>
          <w:color w:val="000000" w:themeColor="text1"/>
          <w:sz w:val="22"/>
          <w:szCs w:val="22"/>
        </w:rPr>
        <w:t>Challenged the constitution of a cabinet that does not meet the 1/3</w:t>
      </w:r>
      <w:r w:rsidRPr="008017BB">
        <w:rPr>
          <w:rFonts w:asciiTheme="minorHAnsi" w:hAnsiTheme="minorHAnsi" w:cstheme="minorHAnsi"/>
          <w:color w:val="000000" w:themeColor="text1"/>
          <w:sz w:val="22"/>
          <w:szCs w:val="22"/>
          <w:vertAlign w:val="superscript"/>
        </w:rPr>
        <w:t>rd</w:t>
      </w:r>
      <w:r w:rsidRPr="008017BB">
        <w:rPr>
          <w:rFonts w:asciiTheme="minorHAnsi" w:hAnsiTheme="minorHAnsi" w:cstheme="minorHAnsi"/>
          <w:color w:val="000000" w:themeColor="text1"/>
          <w:sz w:val="22"/>
          <w:szCs w:val="22"/>
        </w:rPr>
        <w:t xml:space="preserve"> </w:t>
      </w:r>
      <w:r w:rsidR="00276B1D" w:rsidRPr="008017BB">
        <w:rPr>
          <w:rFonts w:asciiTheme="minorHAnsi" w:hAnsiTheme="minorHAnsi" w:cstheme="minorHAnsi"/>
          <w:color w:val="000000" w:themeColor="text1"/>
          <w:sz w:val="22"/>
          <w:szCs w:val="22"/>
        </w:rPr>
        <w:t>gender rule;</w:t>
      </w:r>
    </w:p>
    <w:p w:rsidR="00276B1D" w:rsidRPr="008017BB" w:rsidRDefault="00276B1D" w:rsidP="00F366F6">
      <w:pPr>
        <w:pStyle w:val="NormalWeb"/>
        <w:numPr>
          <w:ilvl w:val="0"/>
          <w:numId w:val="29"/>
        </w:numPr>
        <w:spacing w:before="0" w:beforeAutospacing="0" w:after="0" w:afterAutospacing="0"/>
        <w:jc w:val="both"/>
        <w:rPr>
          <w:rFonts w:asciiTheme="minorHAnsi" w:hAnsiTheme="minorHAnsi" w:cstheme="minorHAnsi"/>
          <w:color w:val="000000" w:themeColor="text1"/>
          <w:sz w:val="22"/>
          <w:szCs w:val="22"/>
        </w:rPr>
      </w:pPr>
      <w:r w:rsidRPr="008017BB">
        <w:rPr>
          <w:rFonts w:asciiTheme="minorHAnsi" w:hAnsiTheme="minorHAnsi" w:cstheme="minorHAnsi"/>
          <w:color w:val="000000" w:themeColor="text1"/>
          <w:sz w:val="22"/>
          <w:szCs w:val="22"/>
        </w:rPr>
        <w:t>Challenged the constitutionality of the mandatory death pe</w:t>
      </w:r>
      <w:r w:rsidR="00F85CD8" w:rsidRPr="008017BB">
        <w:rPr>
          <w:rFonts w:asciiTheme="minorHAnsi" w:hAnsiTheme="minorHAnsi" w:cstheme="minorHAnsi"/>
          <w:color w:val="000000" w:themeColor="text1"/>
          <w:sz w:val="22"/>
          <w:szCs w:val="22"/>
        </w:rPr>
        <w:t>nalty</w:t>
      </w:r>
      <w:r w:rsidR="008A6FB1" w:rsidRPr="008017BB">
        <w:rPr>
          <w:rFonts w:asciiTheme="minorHAnsi" w:hAnsiTheme="minorHAnsi" w:cstheme="minorHAnsi"/>
          <w:color w:val="000000" w:themeColor="text1"/>
          <w:sz w:val="22"/>
          <w:szCs w:val="22"/>
        </w:rPr>
        <w:t xml:space="preserve">; </w:t>
      </w:r>
      <w:r w:rsidR="003C74F6" w:rsidRPr="008017BB">
        <w:rPr>
          <w:rFonts w:asciiTheme="minorHAnsi" w:hAnsiTheme="minorHAnsi" w:cstheme="minorHAnsi"/>
          <w:color w:val="000000" w:themeColor="text1"/>
          <w:sz w:val="22"/>
          <w:szCs w:val="22"/>
        </w:rPr>
        <w:t xml:space="preserve">and, </w:t>
      </w:r>
    </w:p>
    <w:p w:rsidR="00BF65C2" w:rsidRPr="008017BB" w:rsidRDefault="00E060D8" w:rsidP="00F366F6">
      <w:pPr>
        <w:pStyle w:val="NormalWeb"/>
        <w:numPr>
          <w:ilvl w:val="0"/>
          <w:numId w:val="29"/>
        </w:numPr>
        <w:spacing w:before="0" w:beforeAutospacing="0" w:after="200" w:afterAutospacing="0"/>
        <w:jc w:val="both"/>
        <w:rPr>
          <w:rFonts w:asciiTheme="minorHAnsi" w:hAnsiTheme="minorHAnsi" w:cstheme="minorHAnsi"/>
          <w:color w:val="000000" w:themeColor="text1"/>
          <w:sz w:val="22"/>
          <w:szCs w:val="22"/>
        </w:rPr>
      </w:pPr>
      <w:r w:rsidRPr="008017BB">
        <w:rPr>
          <w:rFonts w:asciiTheme="minorHAnsi" w:hAnsiTheme="minorHAnsi" w:cstheme="minorHAnsi"/>
          <w:color w:val="000000" w:themeColor="text1"/>
          <w:sz w:val="22"/>
          <w:szCs w:val="22"/>
        </w:rPr>
        <w:t xml:space="preserve">Secured property rights/ensured compensation </w:t>
      </w:r>
      <w:r w:rsidR="00B44AF7" w:rsidRPr="008017BB">
        <w:rPr>
          <w:rFonts w:asciiTheme="minorHAnsi" w:hAnsiTheme="minorHAnsi" w:cstheme="minorHAnsi"/>
          <w:color w:val="000000" w:themeColor="text1"/>
          <w:sz w:val="22"/>
          <w:szCs w:val="22"/>
        </w:rPr>
        <w:t>for those that are in danger of losing their land to</w:t>
      </w:r>
      <w:r w:rsidRPr="008017BB">
        <w:rPr>
          <w:rFonts w:asciiTheme="minorHAnsi" w:hAnsiTheme="minorHAnsi" w:cstheme="minorHAnsi"/>
          <w:color w:val="000000" w:themeColor="text1"/>
          <w:sz w:val="22"/>
          <w:szCs w:val="22"/>
        </w:rPr>
        <w:t xml:space="preserve"> big infrastructure projects. </w:t>
      </w:r>
    </w:p>
    <w:p w:rsidR="00CD7B2B" w:rsidRPr="008017BB" w:rsidRDefault="006075E7" w:rsidP="00C210CA">
      <w:pPr>
        <w:pStyle w:val="NormalWeb"/>
        <w:spacing w:before="0" w:beforeAutospacing="0" w:after="200" w:afterAutospacing="0"/>
        <w:jc w:val="both"/>
        <w:rPr>
          <w:rFonts w:asciiTheme="minorHAnsi" w:hAnsiTheme="minorHAnsi" w:cstheme="minorHAnsi"/>
          <w:color w:val="000000" w:themeColor="text1"/>
          <w:sz w:val="22"/>
          <w:szCs w:val="22"/>
        </w:rPr>
      </w:pPr>
      <w:r w:rsidRPr="008017BB">
        <w:rPr>
          <w:rFonts w:asciiTheme="minorHAnsi" w:hAnsiTheme="minorHAnsi" w:cstheme="minorHAnsi"/>
          <w:color w:val="000000" w:themeColor="text1"/>
          <w:sz w:val="22"/>
          <w:szCs w:val="22"/>
        </w:rPr>
        <w:t>This litigation, even where it h</w:t>
      </w:r>
      <w:r w:rsidR="00172339" w:rsidRPr="008017BB">
        <w:rPr>
          <w:rFonts w:asciiTheme="minorHAnsi" w:hAnsiTheme="minorHAnsi" w:cstheme="minorHAnsi"/>
          <w:color w:val="000000" w:themeColor="text1"/>
          <w:sz w:val="22"/>
          <w:szCs w:val="22"/>
        </w:rPr>
        <w:t xml:space="preserve">as not been concluded, </w:t>
      </w:r>
      <w:r w:rsidRPr="008017BB">
        <w:rPr>
          <w:rFonts w:asciiTheme="minorHAnsi" w:hAnsiTheme="minorHAnsi" w:cstheme="minorHAnsi"/>
          <w:color w:val="000000" w:themeColor="text1"/>
          <w:sz w:val="22"/>
          <w:szCs w:val="22"/>
        </w:rPr>
        <w:t>has achieved significant protection for human rights, the values of the 2010 Constitution</w:t>
      </w:r>
      <w:r w:rsidR="004E6D1B" w:rsidRPr="008017BB">
        <w:rPr>
          <w:rFonts w:asciiTheme="minorHAnsi" w:hAnsiTheme="minorHAnsi" w:cstheme="minorHAnsi"/>
          <w:color w:val="000000" w:themeColor="text1"/>
          <w:sz w:val="22"/>
          <w:szCs w:val="22"/>
        </w:rPr>
        <w:t xml:space="preserve"> and democratic spaces at risk. </w:t>
      </w:r>
    </w:p>
    <w:p w:rsidR="006406EC" w:rsidRPr="008017BB" w:rsidRDefault="006406EC" w:rsidP="00C210CA">
      <w:pPr>
        <w:spacing w:line="240" w:lineRule="auto"/>
        <w:jc w:val="both"/>
        <w:rPr>
          <w:rFonts w:cstheme="minorHAnsi"/>
          <w:b/>
          <w:bCs/>
        </w:rPr>
      </w:pPr>
      <w:r w:rsidRPr="008017BB">
        <w:rPr>
          <w:rFonts w:cstheme="minorHAnsi"/>
          <w:b/>
          <w:bCs/>
        </w:rPr>
        <w:lastRenderedPageBreak/>
        <w:t>Goal 2: Select partners safeguard the devolution process in Kenya and hold selected county governments accountable in the management of public resources.</w:t>
      </w:r>
    </w:p>
    <w:p w:rsidR="00703295" w:rsidRPr="008017BB" w:rsidRDefault="008455E5" w:rsidP="00C210CA">
      <w:pPr>
        <w:spacing w:line="240" w:lineRule="auto"/>
        <w:jc w:val="both"/>
        <w:rPr>
          <w:rFonts w:cstheme="minorHAnsi"/>
          <w:bCs/>
        </w:rPr>
      </w:pPr>
      <w:r w:rsidRPr="008017BB">
        <w:rPr>
          <w:rFonts w:cstheme="minorHAnsi"/>
          <w:bCs/>
        </w:rPr>
        <w:t xml:space="preserve">In 2015 OSIEA supported 3 organizations to </w:t>
      </w:r>
      <w:r w:rsidR="007D2DF2" w:rsidRPr="008017BB">
        <w:rPr>
          <w:rFonts w:cstheme="minorHAnsi"/>
          <w:bCs/>
        </w:rPr>
        <w:t>work</w:t>
      </w:r>
      <w:r w:rsidRPr="008017BB">
        <w:rPr>
          <w:rFonts w:cstheme="minorHAnsi"/>
          <w:bCs/>
        </w:rPr>
        <w:t xml:space="preserve"> in</w:t>
      </w:r>
      <w:r w:rsidR="00DC6932" w:rsidRPr="008017BB">
        <w:rPr>
          <w:rFonts w:cstheme="minorHAnsi"/>
          <w:bCs/>
        </w:rPr>
        <w:t xml:space="preserve"> 15 </w:t>
      </w:r>
      <w:r w:rsidRPr="008017BB">
        <w:rPr>
          <w:rFonts w:cstheme="minorHAnsi"/>
          <w:bCs/>
        </w:rPr>
        <w:t>counties</w:t>
      </w:r>
      <w:r w:rsidR="00E85BEF" w:rsidRPr="008017BB">
        <w:rPr>
          <w:rFonts w:cstheme="minorHAnsi"/>
          <w:bCs/>
        </w:rPr>
        <w:t xml:space="preserve"> </w:t>
      </w:r>
      <w:r w:rsidR="007D2DF2" w:rsidRPr="008017BB">
        <w:rPr>
          <w:rFonts w:cstheme="minorHAnsi"/>
          <w:bCs/>
        </w:rPr>
        <w:t>(</w:t>
      </w:r>
      <w:r w:rsidR="00E85BEF" w:rsidRPr="008017BB">
        <w:rPr>
          <w:rFonts w:cstheme="minorHAnsi"/>
          <w:bCs/>
        </w:rPr>
        <w:t xml:space="preserve">out </w:t>
      </w:r>
      <w:r w:rsidR="00F11730">
        <w:rPr>
          <w:rFonts w:cstheme="minorHAnsi"/>
          <w:bCs/>
        </w:rPr>
        <w:t xml:space="preserve">of </w:t>
      </w:r>
      <w:r w:rsidR="00E85BEF" w:rsidRPr="008017BB">
        <w:rPr>
          <w:rFonts w:cstheme="minorHAnsi"/>
          <w:bCs/>
        </w:rPr>
        <w:t>a total of 47</w:t>
      </w:r>
      <w:r w:rsidR="007D2DF2" w:rsidRPr="008017BB">
        <w:rPr>
          <w:rFonts w:cstheme="minorHAnsi"/>
          <w:bCs/>
        </w:rPr>
        <w:t xml:space="preserve">) to </w:t>
      </w:r>
      <w:r w:rsidRPr="008017BB">
        <w:rPr>
          <w:rFonts w:cstheme="minorHAnsi"/>
          <w:bCs/>
        </w:rPr>
        <w:t>enable citizen</w:t>
      </w:r>
      <w:r w:rsidR="00B01A77" w:rsidRPr="008017BB">
        <w:rPr>
          <w:rFonts w:cstheme="minorHAnsi"/>
          <w:bCs/>
        </w:rPr>
        <w:t>s</w:t>
      </w:r>
      <w:r w:rsidRPr="008017BB">
        <w:rPr>
          <w:rFonts w:cstheme="minorHAnsi"/>
          <w:bCs/>
        </w:rPr>
        <w:t xml:space="preserve"> participation in the county planning and budgeting process</w:t>
      </w:r>
      <w:r w:rsidR="00E85BEF" w:rsidRPr="008017BB">
        <w:rPr>
          <w:rFonts w:cstheme="minorHAnsi"/>
          <w:bCs/>
        </w:rPr>
        <w:t>.</w:t>
      </w:r>
      <w:r w:rsidR="00F11730">
        <w:rPr>
          <w:rFonts w:cstheme="minorHAnsi"/>
          <w:bCs/>
        </w:rPr>
        <w:t xml:space="preserve"> </w:t>
      </w:r>
      <w:r w:rsidR="000A4AF2" w:rsidRPr="008017BB">
        <w:rPr>
          <w:rFonts w:cstheme="minorHAnsi"/>
          <w:bCs/>
        </w:rPr>
        <w:t>Public awareness activities including commun</w:t>
      </w:r>
      <w:r w:rsidR="006104F8" w:rsidRPr="008017BB">
        <w:rPr>
          <w:rFonts w:cstheme="minorHAnsi"/>
          <w:bCs/>
        </w:rPr>
        <w:t>ity conversations, training, and radio</w:t>
      </w:r>
      <w:r w:rsidR="000A4AF2" w:rsidRPr="008017BB">
        <w:rPr>
          <w:rFonts w:cstheme="minorHAnsi"/>
          <w:bCs/>
        </w:rPr>
        <w:t xml:space="preserve"> </w:t>
      </w:r>
      <w:r w:rsidR="00A77C21" w:rsidRPr="008017BB">
        <w:rPr>
          <w:rFonts w:cstheme="minorHAnsi"/>
          <w:bCs/>
        </w:rPr>
        <w:t>programs</w:t>
      </w:r>
      <w:r w:rsidR="006104F8" w:rsidRPr="008017BB">
        <w:rPr>
          <w:rFonts w:cstheme="minorHAnsi"/>
          <w:bCs/>
        </w:rPr>
        <w:t xml:space="preserve"> and conversations using new media</w:t>
      </w:r>
      <w:r w:rsidR="00E239A0">
        <w:rPr>
          <w:rFonts w:cstheme="minorHAnsi"/>
          <w:bCs/>
        </w:rPr>
        <w:t xml:space="preserve"> were</w:t>
      </w:r>
      <w:r w:rsidR="000A4AF2" w:rsidRPr="008017BB">
        <w:rPr>
          <w:rFonts w:cstheme="minorHAnsi"/>
          <w:bCs/>
        </w:rPr>
        <w:t xml:space="preserve"> some of the approaches that OSIEA partners used to</w:t>
      </w:r>
      <w:r w:rsidR="004B4198" w:rsidRPr="008017BB">
        <w:rPr>
          <w:rFonts w:cstheme="minorHAnsi"/>
          <w:bCs/>
        </w:rPr>
        <w:t xml:space="preserve"> improve citizen participation in c</w:t>
      </w:r>
      <w:r w:rsidR="000A4AF2" w:rsidRPr="008017BB">
        <w:rPr>
          <w:rFonts w:cstheme="minorHAnsi"/>
          <w:bCs/>
        </w:rPr>
        <w:t>ounty governance.</w:t>
      </w:r>
      <w:r w:rsidR="004B4198" w:rsidRPr="008017BB">
        <w:rPr>
          <w:rFonts w:cstheme="minorHAnsi"/>
          <w:bCs/>
        </w:rPr>
        <w:t xml:space="preserve"> </w:t>
      </w:r>
    </w:p>
    <w:p w:rsidR="009D492D" w:rsidRPr="008017BB" w:rsidRDefault="00E239A0" w:rsidP="00C210CA">
      <w:pPr>
        <w:spacing w:line="240" w:lineRule="auto"/>
        <w:jc w:val="both"/>
        <w:rPr>
          <w:rFonts w:cstheme="minorHAnsi"/>
          <w:bCs/>
        </w:rPr>
      </w:pPr>
      <w:r>
        <w:rPr>
          <w:rFonts w:cstheme="minorHAnsi"/>
          <w:bCs/>
        </w:rPr>
        <w:t xml:space="preserve">Increased awareness led </w:t>
      </w:r>
      <w:r w:rsidR="000A4AF2" w:rsidRPr="008017BB">
        <w:rPr>
          <w:rFonts w:cstheme="minorHAnsi"/>
          <w:bCs/>
        </w:rPr>
        <w:t xml:space="preserve">to increased </w:t>
      </w:r>
      <w:r w:rsidR="00EE7D56" w:rsidRPr="008017BB">
        <w:rPr>
          <w:rFonts w:cstheme="minorHAnsi"/>
          <w:bCs/>
        </w:rPr>
        <w:t>self-</w:t>
      </w:r>
      <w:r w:rsidR="002F2716" w:rsidRPr="008017BB">
        <w:rPr>
          <w:rFonts w:cstheme="minorHAnsi"/>
          <w:bCs/>
        </w:rPr>
        <w:t>organizing</w:t>
      </w:r>
      <w:r w:rsidR="00EE7D56" w:rsidRPr="008017BB">
        <w:rPr>
          <w:rFonts w:cstheme="minorHAnsi"/>
          <w:bCs/>
        </w:rPr>
        <w:t xml:space="preserve"> and mobilizing</w:t>
      </w:r>
      <w:r w:rsidR="002F2716" w:rsidRPr="008017BB">
        <w:rPr>
          <w:rFonts w:cstheme="minorHAnsi"/>
          <w:bCs/>
        </w:rPr>
        <w:t xml:space="preserve"> at</w:t>
      </w:r>
      <w:r w:rsidR="007D2DF2" w:rsidRPr="008017BB">
        <w:rPr>
          <w:rFonts w:cstheme="minorHAnsi"/>
          <w:bCs/>
        </w:rPr>
        <w:t xml:space="preserve"> the local level. The</w:t>
      </w:r>
      <w:r>
        <w:rPr>
          <w:rFonts w:cstheme="minorHAnsi"/>
          <w:bCs/>
        </w:rPr>
        <w:t>re was</w:t>
      </w:r>
      <w:r w:rsidR="007D2DF2" w:rsidRPr="008017BB">
        <w:rPr>
          <w:rFonts w:cstheme="minorHAnsi"/>
          <w:bCs/>
        </w:rPr>
        <w:t xml:space="preserve"> evidence of growing </w:t>
      </w:r>
      <w:r w:rsidR="000A4AF2" w:rsidRPr="008017BB">
        <w:rPr>
          <w:rFonts w:cstheme="minorHAnsi"/>
          <w:bCs/>
        </w:rPr>
        <w:t>assertiveness</w:t>
      </w:r>
      <w:r w:rsidR="004B4198" w:rsidRPr="008017BB">
        <w:rPr>
          <w:rFonts w:cstheme="minorHAnsi"/>
          <w:bCs/>
        </w:rPr>
        <w:t xml:space="preserve"> by citizens</w:t>
      </w:r>
      <w:r w:rsidR="007D2DF2" w:rsidRPr="008017BB">
        <w:rPr>
          <w:rFonts w:cstheme="minorHAnsi"/>
          <w:bCs/>
        </w:rPr>
        <w:t xml:space="preserve"> at the county level as citizens engage</w:t>
      </w:r>
      <w:r>
        <w:rPr>
          <w:rFonts w:cstheme="minorHAnsi"/>
          <w:bCs/>
        </w:rPr>
        <w:t>d</w:t>
      </w:r>
      <w:r w:rsidR="007D2DF2" w:rsidRPr="008017BB">
        <w:rPr>
          <w:rFonts w:cstheme="minorHAnsi"/>
          <w:bCs/>
        </w:rPr>
        <w:t xml:space="preserve"> in</w:t>
      </w:r>
      <w:r w:rsidR="004B4198" w:rsidRPr="008017BB">
        <w:rPr>
          <w:rFonts w:cstheme="minorHAnsi"/>
          <w:bCs/>
        </w:rPr>
        <w:t xml:space="preserve"> s</w:t>
      </w:r>
      <w:r w:rsidR="00364C26" w:rsidRPr="008017BB">
        <w:rPr>
          <w:rFonts w:cstheme="minorHAnsi"/>
          <w:bCs/>
        </w:rPr>
        <w:t>ocial audit</w:t>
      </w:r>
      <w:r>
        <w:rPr>
          <w:rFonts w:cstheme="minorHAnsi"/>
          <w:bCs/>
        </w:rPr>
        <w:t>ing and civic forums</w:t>
      </w:r>
      <w:r w:rsidR="007D2DF2" w:rsidRPr="008017BB">
        <w:rPr>
          <w:rFonts w:cstheme="minorHAnsi"/>
          <w:bCs/>
        </w:rPr>
        <w:t xml:space="preserve"> through which they demand</w:t>
      </w:r>
      <w:r>
        <w:rPr>
          <w:rFonts w:cstheme="minorHAnsi"/>
          <w:bCs/>
        </w:rPr>
        <w:t>ed</w:t>
      </w:r>
      <w:r w:rsidR="004B4198" w:rsidRPr="008017BB">
        <w:rPr>
          <w:rFonts w:cstheme="minorHAnsi"/>
          <w:bCs/>
        </w:rPr>
        <w:t xml:space="preserve"> greater accountability from county government officials on </w:t>
      </w:r>
      <w:r w:rsidR="007D2DF2" w:rsidRPr="008017BB">
        <w:rPr>
          <w:rFonts w:cstheme="minorHAnsi"/>
          <w:bCs/>
        </w:rPr>
        <w:t>the use of public fu</w:t>
      </w:r>
      <w:r w:rsidR="006104F8" w:rsidRPr="008017BB">
        <w:rPr>
          <w:rFonts w:cstheme="minorHAnsi"/>
          <w:bCs/>
        </w:rPr>
        <w:t>nds</w:t>
      </w:r>
      <w:r w:rsidR="00CD7B2B" w:rsidRPr="008017BB">
        <w:rPr>
          <w:rFonts w:cstheme="minorHAnsi"/>
          <w:bCs/>
        </w:rPr>
        <w:t>. Citizens are increasingly</w:t>
      </w:r>
      <w:r w:rsidR="007D2DF2" w:rsidRPr="008017BB">
        <w:rPr>
          <w:rFonts w:cstheme="minorHAnsi"/>
          <w:bCs/>
        </w:rPr>
        <w:t xml:space="preserve"> able to</w:t>
      </w:r>
      <w:r w:rsidR="00EE7D56" w:rsidRPr="008017BB">
        <w:rPr>
          <w:rFonts w:cstheme="minorHAnsi"/>
          <w:bCs/>
        </w:rPr>
        <w:t xml:space="preserve"> question</w:t>
      </w:r>
      <w:r w:rsidR="004B4198" w:rsidRPr="008017BB">
        <w:rPr>
          <w:rFonts w:cstheme="minorHAnsi"/>
          <w:bCs/>
        </w:rPr>
        <w:t xml:space="preserve"> the appropriateness</w:t>
      </w:r>
      <w:r w:rsidR="00E43FD2" w:rsidRPr="008017BB">
        <w:rPr>
          <w:rFonts w:cstheme="minorHAnsi"/>
          <w:bCs/>
        </w:rPr>
        <w:t xml:space="preserve"> and quality of </w:t>
      </w:r>
      <w:r w:rsidR="004B4198" w:rsidRPr="008017BB">
        <w:rPr>
          <w:rFonts w:cstheme="minorHAnsi"/>
          <w:bCs/>
        </w:rPr>
        <w:t>projects overseen by county governments</w:t>
      </w:r>
      <w:r w:rsidR="006104F8" w:rsidRPr="008017BB">
        <w:rPr>
          <w:rFonts w:cstheme="minorHAnsi"/>
          <w:bCs/>
        </w:rPr>
        <w:t xml:space="preserve"> and demand accountability in the delivery of public services</w:t>
      </w:r>
      <w:r w:rsidR="004B4198" w:rsidRPr="008017BB">
        <w:rPr>
          <w:rFonts w:cstheme="minorHAnsi"/>
          <w:bCs/>
        </w:rPr>
        <w:t>.</w:t>
      </w:r>
      <w:r w:rsidR="00EE7D56" w:rsidRPr="008017BB">
        <w:rPr>
          <w:rFonts w:cstheme="minorHAnsi"/>
          <w:bCs/>
        </w:rPr>
        <w:t xml:space="preserve"> </w:t>
      </w:r>
      <w:r w:rsidR="000A4AF2" w:rsidRPr="008017BB">
        <w:rPr>
          <w:rFonts w:cstheme="minorHAnsi"/>
          <w:bCs/>
        </w:rPr>
        <w:t>In Nairobi</w:t>
      </w:r>
      <w:r w:rsidR="00B01A77" w:rsidRPr="008017BB">
        <w:rPr>
          <w:rFonts w:cstheme="minorHAnsi"/>
          <w:bCs/>
        </w:rPr>
        <w:t>,</w:t>
      </w:r>
      <w:r w:rsidR="000A4AF2" w:rsidRPr="008017BB">
        <w:rPr>
          <w:rFonts w:cstheme="minorHAnsi"/>
          <w:bCs/>
        </w:rPr>
        <w:t xml:space="preserve"> sector groups were able influence budget priorities to include </w:t>
      </w:r>
      <w:r w:rsidR="00B01A77" w:rsidRPr="008017BB">
        <w:rPr>
          <w:rFonts w:cstheme="minorHAnsi"/>
          <w:bCs/>
        </w:rPr>
        <w:t xml:space="preserve">the </w:t>
      </w:r>
      <w:r w:rsidR="000A4AF2" w:rsidRPr="008017BB">
        <w:rPr>
          <w:rFonts w:cstheme="minorHAnsi"/>
          <w:bCs/>
        </w:rPr>
        <w:t>construction of a hospital and youth tradi</w:t>
      </w:r>
      <w:r w:rsidR="006D6922" w:rsidRPr="008017BB">
        <w:rPr>
          <w:rFonts w:cstheme="minorHAnsi"/>
          <w:bCs/>
        </w:rPr>
        <w:t>ng stalls</w:t>
      </w:r>
      <w:r w:rsidR="008441D7" w:rsidRPr="008017BB">
        <w:rPr>
          <w:rFonts w:cstheme="minorHAnsi"/>
          <w:bCs/>
        </w:rPr>
        <w:t xml:space="preserve">. </w:t>
      </w:r>
      <w:r w:rsidR="009D492D" w:rsidRPr="008017BB">
        <w:rPr>
          <w:rFonts w:cstheme="minorHAnsi"/>
          <w:bCs/>
        </w:rPr>
        <w:t>In Nakuru</w:t>
      </w:r>
      <w:r w:rsidR="00B01A77" w:rsidRPr="008017BB">
        <w:rPr>
          <w:rFonts w:cstheme="minorHAnsi"/>
          <w:bCs/>
        </w:rPr>
        <w:t>,</w:t>
      </w:r>
      <w:r w:rsidR="009D492D" w:rsidRPr="008017BB">
        <w:rPr>
          <w:rFonts w:cstheme="minorHAnsi"/>
          <w:bCs/>
        </w:rPr>
        <w:t xml:space="preserve"> citizens were able to mobilize, draft and present 18 memoran</w:t>
      </w:r>
      <w:r w:rsidR="006104F8" w:rsidRPr="008017BB">
        <w:rPr>
          <w:rFonts w:cstheme="minorHAnsi"/>
          <w:bCs/>
        </w:rPr>
        <w:t>da during county budget forums.</w:t>
      </w:r>
    </w:p>
    <w:p w:rsidR="00E43147" w:rsidRPr="008017BB" w:rsidRDefault="001C21DA" w:rsidP="00C210CA">
      <w:pPr>
        <w:spacing w:line="240" w:lineRule="auto"/>
        <w:jc w:val="both"/>
        <w:rPr>
          <w:rFonts w:cstheme="minorHAnsi"/>
          <w:bCs/>
        </w:rPr>
      </w:pPr>
      <w:r w:rsidRPr="008017BB">
        <w:rPr>
          <w:rFonts w:cstheme="minorHAnsi"/>
          <w:bCs/>
        </w:rPr>
        <w:t>Lastly</w:t>
      </w:r>
      <w:r w:rsidR="00F11730">
        <w:rPr>
          <w:rFonts w:cstheme="minorHAnsi"/>
          <w:bCs/>
        </w:rPr>
        <w:t>,</w:t>
      </w:r>
      <w:r w:rsidR="007D2DF2" w:rsidRPr="008017BB">
        <w:rPr>
          <w:rFonts w:cstheme="minorHAnsi"/>
          <w:bCs/>
        </w:rPr>
        <w:t xml:space="preserve"> OSIEA partners provided support to </w:t>
      </w:r>
      <w:r w:rsidR="00EE7D56" w:rsidRPr="008017BB">
        <w:rPr>
          <w:rFonts w:cstheme="minorHAnsi"/>
          <w:bCs/>
        </w:rPr>
        <w:t>the counties in policy developm</w:t>
      </w:r>
      <w:r w:rsidR="007D2DF2" w:rsidRPr="008017BB">
        <w:rPr>
          <w:rFonts w:cstheme="minorHAnsi"/>
          <w:bCs/>
        </w:rPr>
        <w:t>ent including drafting of bills</w:t>
      </w:r>
      <w:r w:rsidR="00392692" w:rsidRPr="008017BB">
        <w:rPr>
          <w:rFonts w:cstheme="minorHAnsi"/>
          <w:bCs/>
        </w:rPr>
        <w:t>,</w:t>
      </w:r>
      <w:r w:rsidR="00EE7D56" w:rsidRPr="008017BB">
        <w:rPr>
          <w:rFonts w:cstheme="minorHAnsi"/>
          <w:bCs/>
        </w:rPr>
        <w:t xml:space="preserve"> designing s</w:t>
      </w:r>
      <w:r w:rsidR="00A354B8" w:rsidRPr="008017BB">
        <w:rPr>
          <w:rFonts w:cstheme="minorHAnsi"/>
          <w:bCs/>
        </w:rPr>
        <w:t>tructures</w:t>
      </w:r>
      <w:r w:rsidR="00EE7D56" w:rsidRPr="008017BB">
        <w:rPr>
          <w:rFonts w:cstheme="minorHAnsi"/>
          <w:bCs/>
        </w:rPr>
        <w:t xml:space="preserve"> and developing guidelines</w:t>
      </w:r>
      <w:r w:rsidR="00A354B8" w:rsidRPr="008017BB">
        <w:rPr>
          <w:rFonts w:cstheme="minorHAnsi"/>
          <w:bCs/>
        </w:rPr>
        <w:t xml:space="preserve"> to enable public participation in county g</w:t>
      </w:r>
      <w:r w:rsidR="00EE7D56" w:rsidRPr="008017BB">
        <w:rPr>
          <w:rFonts w:cstheme="minorHAnsi"/>
          <w:bCs/>
        </w:rPr>
        <w:t xml:space="preserve">overnance. </w:t>
      </w:r>
      <w:r w:rsidR="00392692" w:rsidRPr="008017BB">
        <w:rPr>
          <w:rFonts w:cstheme="minorHAnsi"/>
          <w:bCs/>
        </w:rPr>
        <w:t>Out of the 15 select counties</w:t>
      </w:r>
      <w:r w:rsidR="00B01A77" w:rsidRPr="008017BB">
        <w:rPr>
          <w:rFonts w:cstheme="minorHAnsi"/>
          <w:bCs/>
        </w:rPr>
        <w:t>,</w:t>
      </w:r>
      <w:r w:rsidR="00392692" w:rsidRPr="008017BB">
        <w:rPr>
          <w:rFonts w:cstheme="minorHAnsi"/>
          <w:bCs/>
        </w:rPr>
        <w:t xml:space="preserve"> 5</w:t>
      </w:r>
      <w:r w:rsidR="00A354B8" w:rsidRPr="008017BB">
        <w:rPr>
          <w:rFonts w:cstheme="minorHAnsi"/>
          <w:bCs/>
        </w:rPr>
        <w:t xml:space="preserve"> have or are in the process of passing the county public participation bills. </w:t>
      </w:r>
    </w:p>
    <w:p w:rsidR="003D4969" w:rsidRPr="008017BB" w:rsidRDefault="003D4969" w:rsidP="00C210CA">
      <w:pPr>
        <w:spacing w:line="240" w:lineRule="auto"/>
        <w:jc w:val="both"/>
        <w:rPr>
          <w:rFonts w:cstheme="minorHAnsi"/>
          <w:b/>
        </w:rPr>
      </w:pPr>
      <w:r w:rsidRPr="008017BB">
        <w:rPr>
          <w:rFonts w:cstheme="minorHAnsi"/>
          <w:b/>
        </w:rPr>
        <w:t>Goal 3: Increase responsiveness of the rule of law sector to protect and promote human rights and access to justice</w:t>
      </w:r>
      <w:r w:rsidR="00EF35B6">
        <w:rPr>
          <w:rFonts w:cstheme="minorHAnsi"/>
          <w:b/>
        </w:rPr>
        <w:t>.</w:t>
      </w:r>
    </w:p>
    <w:p w:rsidR="003D4969" w:rsidRPr="008017BB" w:rsidRDefault="003D4969" w:rsidP="00C210CA">
      <w:pPr>
        <w:spacing w:line="240" w:lineRule="auto"/>
        <w:jc w:val="both"/>
        <w:rPr>
          <w:rFonts w:cstheme="minorHAnsi"/>
        </w:rPr>
      </w:pPr>
      <w:r w:rsidRPr="008017BB">
        <w:rPr>
          <w:rFonts w:cstheme="minorHAnsi"/>
        </w:rPr>
        <w:t xml:space="preserve">The reality of closing spaces was never </w:t>
      </w:r>
      <w:r w:rsidR="00EA13DD" w:rsidRPr="008017BB">
        <w:rPr>
          <w:rFonts w:cstheme="minorHAnsi"/>
        </w:rPr>
        <w:t>true</w:t>
      </w:r>
      <w:r w:rsidRPr="008017BB">
        <w:rPr>
          <w:rFonts w:cstheme="minorHAnsi"/>
        </w:rPr>
        <w:t xml:space="preserve"> for Kenya’s recent history</w:t>
      </w:r>
      <w:r w:rsidR="00745809">
        <w:rPr>
          <w:rFonts w:cstheme="minorHAnsi"/>
        </w:rPr>
        <w:t xml:space="preserve"> than in 2015. In April, OSIEA </w:t>
      </w:r>
      <w:r w:rsidRPr="008017BB">
        <w:rPr>
          <w:rFonts w:cstheme="minorHAnsi"/>
        </w:rPr>
        <w:t xml:space="preserve">grantees </w:t>
      </w:r>
      <w:r w:rsidR="00745809">
        <w:rPr>
          <w:rFonts w:cstheme="minorHAnsi"/>
        </w:rPr>
        <w:t>MUHURI and Haki</w:t>
      </w:r>
      <w:r w:rsidRPr="008017BB">
        <w:rPr>
          <w:rFonts w:cstheme="minorHAnsi"/>
        </w:rPr>
        <w:t xml:space="preserve"> Africa found themselves in a Kenya Gazette notice listed among “entities suspected to be associated with Al-Shabaab” which led to their bank accounts bein</w:t>
      </w:r>
      <w:r w:rsidR="00C878A1" w:rsidRPr="008017BB">
        <w:rPr>
          <w:rFonts w:cstheme="minorHAnsi"/>
        </w:rPr>
        <w:t>g froze</w:t>
      </w:r>
      <w:r w:rsidR="00745809">
        <w:rPr>
          <w:rFonts w:cstheme="minorHAnsi"/>
        </w:rPr>
        <w:t xml:space="preserve">n, </w:t>
      </w:r>
      <w:r w:rsidRPr="008017BB">
        <w:rPr>
          <w:rFonts w:cstheme="minorHAnsi"/>
        </w:rPr>
        <w:t>their books of accounts being confiscated by the Kenya Revenue Authority, threat</w:t>
      </w:r>
      <w:r w:rsidR="0021273C" w:rsidRPr="008017BB">
        <w:rPr>
          <w:rFonts w:cstheme="minorHAnsi"/>
        </w:rPr>
        <w:t xml:space="preserve">s of </w:t>
      </w:r>
      <w:r w:rsidRPr="008017BB">
        <w:rPr>
          <w:rFonts w:cstheme="minorHAnsi"/>
        </w:rPr>
        <w:t xml:space="preserve">deregistration by </w:t>
      </w:r>
      <w:r w:rsidR="0021273C" w:rsidRPr="008017BB">
        <w:rPr>
          <w:rFonts w:cstheme="minorHAnsi"/>
        </w:rPr>
        <w:t xml:space="preserve">the </w:t>
      </w:r>
      <w:r w:rsidR="00EF35B6">
        <w:rPr>
          <w:rFonts w:cstheme="minorHAnsi"/>
        </w:rPr>
        <w:t>Non-Governmental Organization (</w:t>
      </w:r>
      <w:r w:rsidRPr="008017BB">
        <w:rPr>
          <w:rFonts w:cstheme="minorHAnsi"/>
        </w:rPr>
        <w:t>NGO</w:t>
      </w:r>
      <w:r w:rsidR="00EF35B6">
        <w:rPr>
          <w:rFonts w:cstheme="minorHAnsi"/>
        </w:rPr>
        <w:t>)</w:t>
      </w:r>
      <w:r w:rsidRPr="008017BB">
        <w:rPr>
          <w:rFonts w:cstheme="minorHAnsi"/>
        </w:rPr>
        <w:t xml:space="preserve"> Coordination Board, and almost unable to function in the short term. Both MUHURI and Haki Africa have been at the forefront documenting human right</w:t>
      </w:r>
      <w:r w:rsidR="0021273C" w:rsidRPr="008017BB">
        <w:rPr>
          <w:rFonts w:cstheme="minorHAnsi"/>
        </w:rPr>
        <w:t>s violations in Kenya’s counter</w:t>
      </w:r>
      <w:r w:rsidRPr="008017BB">
        <w:rPr>
          <w:rFonts w:cstheme="minorHAnsi"/>
        </w:rPr>
        <w:t>terror efforts.</w:t>
      </w:r>
    </w:p>
    <w:p w:rsidR="003D4969" w:rsidRPr="008017BB" w:rsidRDefault="003D4969" w:rsidP="00C210CA">
      <w:pPr>
        <w:spacing w:line="240" w:lineRule="auto"/>
        <w:jc w:val="both"/>
        <w:rPr>
          <w:rFonts w:cstheme="minorHAnsi"/>
        </w:rPr>
      </w:pPr>
      <w:r w:rsidRPr="008017BB">
        <w:rPr>
          <w:rFonts w:cstheme="minorHAnsi"/>
        </w:rPr>
        <w:t xml:space="preserve">OSIEA, along with a few other donors continued to find innovative ways to ensure that both organizations could </w:t>
      </w:r>
      <w:r w:rsidR="00CF2420" w:rsidRPr="008017BB">
        <w:rPr>
          <w:rFonts w:cstheme="minorHAnsi"/>
        </w:rPr>
        <w:t>o</w:t>
      </w:r>
      <w:r w:rsidRPr="008017BB">
        <w:rPr>
          <w:rFonts w:cstheme="minorHAnsi"/>
        </w:rPr>
        <w:t xml:space="preserve">perate </w:t>
      </w:r>
      <w:r w:rsidR="002B5C2F" w:rsidRPr="008017BB">
        <w:rPr>
          <w:rFonts w:cstheme="minorHAnsi"/>
        </w:rPr>
        <w:t xml:space="preserve">minimally. </w:t>
      </w:r>
      <w:r w:rsidR="00CA2FF0">
        <w:rPr>
          <w:rFonts w:cstheme="minorHAnsi"/>
        </w:rPr>
        <w:t>OSIEA</w:t>
      </w:r>
      <w:r w:rsidR="002B5C2F" w:rsidRPr="008017BB">
        <w:rPr>
          <w:rFonts w:cstheme="minorHAnsi"/>
        </w:rPr>
        <w:t xml:space="preserve"> also </w:t>
      </w:r>
      <w:r w:rsidRPr="008017BB">
        <w:rPr>
          <w:rFonts w:cstheme="minorHAnsi"/>
        </w:rPr>
        <w:t>support</w:t>
      </w:r>
      <w:r w:rsidR="002B5C2F" w:rsidRPr="008017BB">
        <w:rPr>
          <w:rFonts w:cstheme="minorHAnsi"/>
        </w:rPr>
        <w:t>ed</w:t>
      </w:r>
      <w:r w:rsidRPr="008017BB">
        <w:rPr>
          <w:rFonts w:cstheme="minorHAnsi"/>
        </w:rPr>
        <w:t xml:space="preserve"> </w:t>
      </w:r>
      <w:r w:rsidR="00CF2420" w:rsidRPr="008017BB">
        <w:rPr>
          <w:rFonts w:cstheme="minorHAnsi"/>
        </w:rPr>
        <w:t>t</w:t>
      </w:r>
      <w:r w:rsidRPr="008017BB">
        <w:rPr>
          <w:rFonts w:cstheme="minorHAnsi"/>
        </w:rPr>
        <w:t>heir li</w:t>
      </w:r>
      <w:r w:rsidR="00745809">
        <w:rPr>
          <w:rFonts w:cstheme="minorHAnsi"/>
        </w:rPr>
        <w:t>tigation against this government action</w:t>
      </w:r>
      <w:r w:rsidRPr="008017BB">
        <w:rPr>
          <w:rFonts w:cstheme="minorHAnsi"/>
        </w:rPr>
        <w:t xml:space="preserve">. The High Court would </w:t>
      </w:r>
      <w:r w:rsidR="00CF2420" w:rsidRPr="008017BB">
        <w:rPr>
          <w:rFonts w:cstheme="minorHAnsi"/>
        </w:rPr>
        <w:t>ultimately</w:t>
      </w:r>
      <w:r w:rsidRPr="008017BB">
        <w:rPr>
          <w:rFonts w:cstheme="minorHAnsi"/>
        </w:rPr>
        <w:t xml:space="preserve"> determine </w:t>
      </w:r>
      <w:r w:rsidR="00CF2420" w:rsidRPr="008017BB">
        <w:rPr>
          <w:rFonts w:cstheme="minorHAnsi"/>
        </w:rPr>
        <w:t xml:space="preserve">that this </w:t>
      </w:r>
      <w:r w:rsidRPr="008017BB">
        <w:rPr>
          <w:rFonts w:cstheme="minorHAnsi"/>
        </w:rPr>
        <w:t>listing of both organizations was unfounded</w:t>
      </w:r>
      <w:r w:rsidR="00CF2420" w:rsidRPr="008017BB">
        <w:rPr>
          <w:rFonts w:cstheme="minorHAnsi"/>
        </w:rPr>
        <w:t xml:space="preserve">; </w:t>
      </w:r>
      <w:r w:rsidRPr="008017BB">
        <w:rPr>
          <w:rFonts w:cstheme="minorHAnsi"/>
        </w:rPr>
        <w:t>order</w:t>
      </w:r>
      <w:r w:rsidR="00CF2420" w:rsidRPr="008017BB">
        <w:rPr>
          <w:rFonts w:cstheme="minorHAnsi"/>
        </w:rPr>
        <w:t>ing</w:t>
      </w:r>
      <w:r w:rsidRPr="008017BB">
        <w:rPr>
          <w:rFonts w:cstheme="minorHAnsi"/>
        </w:rPr>
        <w:t xml:space="preserve"> the lifting of the bank </w:t>
      </w:r>
      <w:r w:rsidR="00CF2420" w:rsidRPr="008017BB">
        <w:rPr>
          <w:rFonts w:cstheme="minorHAnsi"/>
        </w:rPr>
        <w:t xml:space="preserve">accounts </w:t>
      </w:r>
      <w:r w:rsidRPr="008017BB">
        <w:rPr>
          <w:rFonts w:cstheme="minorHAnsi"/>
        </w:rPr>
        <w:t xml:space="preserve">freeze. </w:t>
      </w:r>
    </w:p>
    <w:p w:rsidR="003D4969" w:rsidRPr="008017BB" w:rsidRDefault="00EF35B6" w:rsidP="00C210CA">
      <w:pPr>
        <w:pStyle w:val="NormalWeb"/>
        <w:spacing w:before="0" w:beforeAutospacing="0" w:after="200" w:afterAutospacing="0"/>
        <w:jc w:val="both"/>
        <w:rPr>
          <w:rFonts w:asciiTheme="minorHAnsi" w:hAnsiTheme="minorHAnsi" w:cstheme="minorHAnsi"/>
          <w:sz w:val="22"/>
          <w:szCs w:val="22"/>
        </w:rPr>
      </w:pPr>
      <w:r>
        <w:rPr>
          <w:rFonts w:asciiTheme="minorHAnsi" w:hAnsiTheme="minorHAnsi" w:cstheme="minorHAnsi"/>
          <w:sz w:val="22"/>
          <w:szCs w:val="22"/>
        </w:rPr>
        <w:t xml:space="preserve">However, </w:t>
      </w:r>
      <w:r w:rsidR="003D4969" w:rsidRPr="008017BB">
        <w:rPr>
          <w:rFonts w:asciiTheme="minorHAnsi" w:hAnsiTheme="minorHAnsi" w:cstheme="minorHAnsi"/>
          <w:sz w:val="22"/>
          <w:szCs w:val="22"/>
        </w:rPr>
        <w:t xml:space="preserve">even as this was unfolding, a government taskforce set up to gather the public’s views on the </w:t>
      </w:r>
      <w:r w:rsidR="00072BEB" w:rsidRPr="00072BEB">
        <w:rPr>
          <w:rFonts w:asciiTheme="minorHAnsi" w:hAnsiTheme="minorHAnsi" w:cstheme="minorHAnsi"/>
          <w:sz w:val="22"/>
          <w:szCs w:val="22"/>
        </w:rPr>
        <w:t>Public Benefits Organizations (PBO)</w:t>
      </w:r>
      <w:r w:rsidR="003D4969" w:rsidRPr="008017BB">
        <w:rPr>
          <w:rFonts w:asciiTheme="minorHAnsi" w:hAnsiTheme="minorHAnsi" w:cstheme="minorHAnsi"/>
          <w:sz w:val="22"/>
          <w:szCs w:val="22"/>
        </w:rPr>
        <w:t xml:space="preserve"> Act released its finding</w:t>
      </w:r>
      <w:r w:rsidR="00537048" w:rsidRPr="008017BB">
        <w:rPr>
          <w:rFonts w:asciiTheme="minorHAnsi" w:hAnsiTheme="minorHAnsi" w:cstheme="minorHAnsi"/>
          <w:sz w:val="22"/>
          <w:szCs w:val="22"/>
        </w:rPr>
        <w:t>s</w:t>
      </w:r>
      <w:r w:rsidR="003D4969" w:rsidRPr="008017BB">
        <w:rPr>
          <w:rFonts w:asciiTheme="minorHAnsi" w:hAnsiTheme="minorHAnsi" w:cstheme="minorHAnsi"/>
          <w:sz w:val="22"/>
          <w:szCs w:val="22"/>
        </w:rPr>
        <w:t xml:space="preserve"> proposing amendments to the Act (whic</w:t>
      </w:r>
      <w:r w:rsidR="00745809">
        <w:rPr>
          <w:rFonts w:asciiTheme="minorHAnsi" w:hAnsiTheme="minorHAnsi" w:cstheme="minorHAnsi"/>
          <w:sz w:val="22"/>
          <w:szCs w:val="22"/>
        </w:rPr>
        <w:t xml:space="preserve">h is yet to come into force). It </w:t>
      </w:r>
      <w:r w:rsidR="003D4969" w:rsidRPr="008017BB">
        <w:rPr>
          <w:rFonts w:asciiTheme="minorHAnsi" w:hAnsiTheme="minorHAnsi" w:cstheme="minorHAnsi"/>
          <w:sz w:val="22"/>
          <w:szCs w:val="22"/>
        </w:rPr>
        <w:t xml:space="preserve">recommended, inter alia, for </w:t>
      </w:r>
      <w:r>
        <w:rPr>
          <w:rFonts w:asciiTheme="minorHAnsi" w:hAnsiTheme="minorHAnsi" w:cstheme="minorHAnsi"/>
          <w:sz w:val="22"/>
          <w:szCs w:val="22"/>
        </w:rPr>
        <w:t>CSOs</w:t>
      </w:r>
      <w:r w:rsidR="003D4969" w:rsidRPr="008017BB">
        <w:rPr>
          <w:rFonts w:asciiTheme="minorHAnsi" w:hAnsiTheme="minorHAnsi" w:cstheme="minorHAnsi"/>
          <w:sz w:val="22"/>
          <w:szCs w:val="22"/>
        </w:rPr>
        <w:t xml:space="preserve"> to compulsorily disclose the source</w:t>
      </w:r>
      <w:r>
        <w:rPr>
          <w:rFonts w:asciiTheme="minorHAnsi" w:hAnsiTheme="minorHAnsi" w:cstheme="minorHAnsi"/>
          <w:sz w:val="22"/>
          <w:szCs w:val="22"/>
        </w:rPr>
        <w:t>s</w:t>
      </w:r>
      <w:r w:rsidR="003D4969" w:rsidRPr="008017BB">
        <w:rPr>
          <w:rFonts w:asciiTheme="minorHAnsi" w:hAnsiTheme="minorHAnsi" w:cstheme="minorHAnsi"/>
          <w:sz w:val="22"/>
          <w:szCs w:val="22"/>
        </w:rPr>
        <w:t xml:space="preserve"> of their funding and d</w:t>
      </w:r>
      <w:r w:rsidR="00745809">
        <w:rPr>
          <w:rFonts w:asciiTheme="minorHAnsi" w:hAnsiTheme="minorHAnsi" w:cstheme="minorHAnsi"/>
          <w:sz w:val="22"/>
          <w:szCs w:val="22"/>
        </w:rPr>
        <w:t>eclare how they intend to utiliz</w:t>
      </w:r>
      <w:r w:rsidR="003D4969" w:rsidRPr="008017BB">
        <w:rPr>
          <w:rFonts w:asciiTheme="minorHAnsi" w:hAnsiTheme="minorHAnsi" w:cstheme="minorHAnsi"/>
          <w:sz w:val="22"/>
          <w:szCs w:val="22"/>
        </w:rPr>
        <w:t>e the same, as well as give a percentage of the funding they receive to an authority to be established by the government to monitor them. OSIEA participated in forums in support of open spaces and</w:t>
      </w:r>
      <w:r w:rsidR="00537048" w:rsidRPr="008017BB">
        <w:rPr>
          <w:rFonts w:asciiTheme="minorHAnsi" w:hAnsiTheme="minorHAnsi" w:cstheme="minorHAnsi"/>
          <w:sz w:val="22"/>
          <w:szCs w:val="22"/>
        </w:rPr>
        <w:t xml:space="preserve"> along with </w:t>
      </w:r>
      <w:r w:rsidR="00DB0A5B" w:rsidRPr="008017BB">
        <w:rPr>
          <w:rFonts w:asciiTheme="minorHAnsi" w:hAnsiTheme="minorHAnsi" w:cstheme="minorHAnsi"/>
          <w:sz w:val="22"/>
          <w:szCs w:val="22"/>
        </w:rPr>
        <w:t>other grantees and partners</w:t>
      </w:r>
      <w:r>
        <w:rPr>
          <w:rFonts w:asciiTheme="minorHAnsi" w:hAnsiTheme="minorHAnsi" w:cstheme="minorHAnsi"/>
          <w:sz w:val="22"/>
          <w:szCs w:val="22"/>
        </w:rPr>
        <w:t>,</w:t>
      </w:r>
      <w:r w:rsidR="00DB0A5B" w:rsidRPr="008017BB">
        <w:rPr>
          <w:rFonts w:asciiTheme="minorHAnsi" w:hAnsiTheme="minorHAnsi" w:cstheme="minorHAnsi"/>
          <w:sz w:val="22"/>
          <w:szCs w:val="22"/>
        </w:rPr>
        <w:t xml:space="preserve"> </w:t>
      </w:r>
      <w:r w:rsidR="003D4969" w:rsidRPr="008017BB">
        <w:rPr>
          <w:rFonts w:asciiTheme="minorHAnsi" w:hAnsiTheme="minorHAnsi" w:cstheme="minorHAnsi"/>
          <w:sz w:val="22"/>
          <w:szCs w:val="22"/>
        </w:rPr>
        <w:t xml:space="preserve">supported advocacy against the proposed amendments to the PBO Act. </w:t>
      </w:r>
      <w:r w:rsidR="00CA2FF0">
        <w:rPr>
          <w:rFonts w:asciiTheme="minorHAnsi" w:hAnsiTheme="minorHAnsi" w:cstheme="minorHAnsi"/>
          <w:sz w:val="22"/>
          <w:szCs w:val="22"/>
        </w:rPr>
        <w:t>The program also</w:t>
      </w:r>
      <w:r w:rsidR="003D4969" w:rsidRPr="008017BB">
        <w:rPr>
          <w:rFonts w:asciiTheme="minorHAnsi" w:hAnsiTheme="minorHAnsi" w:cstheme="minorHAnsi"/>
          <w:sz w:val="22"/>
          <w:szCs w:val="22"/>
        </w:rPr>
        <w:t xml:space="preserve"> supported</w:t>
      </w:r>
      <w:r w:rsidR="00CA2FF0">
        <w:rPr>
          <w:rFonts w:asciiTheme="minorHAnsi" w:hAnsiTheme="minorHAnsi" w:cstheme="minorHAnsi"/>
          <w:sz w:val="22"/>
          <w:szCs w:val="22"/>
        </w:rPr>
        <w:t xml:space="preserve"> two advocacy missions for </w:t>
      </w:r>
      <w:r w:rsidR="003D4969" w:rsidRPr="008017BB">
        <w:rPr>
          <w:rFonts w:asciiTheme="minorHAnsi" w:hAnsiTheme="minorHAnsi" w:cstheme="minorHAnsi"/>
          <w:sz w:val="22"/>
          <w:szCs w:val="22"/>
        </w:rPr>
        <w:t xml:space="preserve">partners, one to Washington DC and another to London to discuss the Kenyan situation on </w:t>
      </w:r>
      <w:r w:rsidR="00250DBD" w:rsidRPr="008017BB">
        <w:rPr>
          <w:rFonts w:asciiTheme="minorHAnsi" w:hAnsiTheme="minorHAnsi" w:cstheme="minorHAnsi"/>
          <w:sz w:val="22"/>
          <w:szCs w:val="22"/>
        </w:rPr>
        <w:t xml:space="preserve">the </w:t>
      </w:r>
      <w:r w:rsidR="003D4969" w:rsidRPr="008017BB">
        <w:rPr>
          <w:rFonts w:asciiTheme="minorHAnsi" w:hAnsiTheme="minorHAnsi" w:cstheme="minorHAnsi"/>
          <w:sz w:val="22"/>
          <w:szCs w:val="22"/>
        </w:rPr>
        <w:t>closing democratic space as well as human rights vi</w:t>
      </w:r>
      <w:r w:rsidR="00250DBD" w:rsidRPr="008017BB">
        <w:rPr>
          <w:rFonts w:asciiTheme="minorHAnsi" w:hAnsiTheme="minorHAnsi" w:cstheme="minorHAnsi"/>
          <w:sz w:val="22"/>
          <w:szCs w:val="22"/>
        </w:rPr>
        <w:t>olations emanating from counter</w:t>
      </w:r>
      <w:r w:rsidR="003D4969" w:rsidRPr="008017BB">
        <w:rPr>
          <w:rFonts w:asciiTheme="minorHAnsi" w:hAnsiTheme="minorHAnsi" w:cstheme="minorHAnsi"/>
          <w:sz w:val="22"/>
          <w:szCs w:val="22"/>
        </w:rPr>
        <w:t>terrorism</w:t>
      </w:r>
      <w:r>
        <w:rPr>
          <w:rFonts w:asciiTheme="minorHAnsi" w:hAnsiTheme="minorHAnsi" w:cstheme="minorHAnsi"/>
          <w:sz w:val="22"/>
          <w:szCs w:val="22"/>
        </w:rPr>
        <w:t xml:space="preserve"> approaches</w:t>
      </w:r>
      <w:r w:rsidR="003D4969" w:rsidRPr="008017BB">
        <w:rPr>
          <w:rFonts w:asciiTheme="minorHAnsi" w:hAnsiTheme="minorHAnsi" w:cstheme="minorHAnsi"/>
          <w:sz w:val="22"/>
          <w:szCs w:val="22"/>
        </w:rPr>
        <w:t>. The DC mission</w:t>
      </w:r>
      <w:r w:rsidR="00250DBD" w:rsidRPr="008017BB">
        <w:rPr>
          <w:rFonts w:asciiTheme="minorHAnsi" w:hAnsiTheme="minorHAnsi" w:cstheme="minorHAnsi"/>
          <w:sz w:val="22"/>
          <w:szCs w:val="22"/>
        </w:rPr>
        <w:t xml:space="preserve"> had </w:t>
      </w:r>
      <w:r w:rsidR="003D4969" w:rsidRPr="008017BB">
        <w:rPr>
          <w:rFonts w:asciiTheme="minorHAnsi" w:hAnsiTheme="minorHAnsi" w:cstheme="minorHAnsi"/>
          <w:sz w:val="22"/>
          <w:szCs w:val="22"/>
        </w:rPr>
        <w:t>meetings with the State Department and members of the US Senate and Ho</w:t>
      </w:r>
      <w:r w:rsidR="002B5C2F" w:rsidRPr="008017BB">
        <w:rPr>
          <w:rFonts w:asciiTheme="minorHAnsi" w:hAnsiTheme="minorHAnsi" w:cstheme="minorHAnsi"/>
          <w:sz w:val="22"/>
          <w:szCs w:val="22"/>
        </w:rPr>
        <w:t>use of Representatives. It focu</w:t>
      </w:r>
      <w:r w:rsidR="003D4969" w:rsidRPr="008017BB">
        <w:rPr>
          <w:rFonts w:asciiTheme="minorHAnsi" w:hAnsiTheme="minorHAnsi" w:cstheme="minorHAnsi"/>
          <w:sz w:val="22"/>
          <w:szCs w:val="22"/>
        </w:rPr>
        <w:t>sed largely on the thre</w:t>
      </w:r>
      <w:r w:rsidR="00250DBD" w:rsidRPr="008017BB">
        <w:rPr>
          <w:rFonts w:asciiTheme="minorHAnsi" w:hAnsiTheme="minorHAnsi" w:cstheme="minorHAnsi"/>
          <w:sz w:val="22"/>
          <w:szCs w:val="22"/>
        </w:rPr>
        <w:t>at to civil society and counter</w:t>
      </w:r>
      <w:r w:rsidR="003D4969" w:rsidRPr="008017BB">
        <w:rPr>
          <w:rFonts w:asciiTheme="minorHAnsi" w:hAnsiTheme="minorHAnsi" w:cstheme="minorHAnsi"/>
          <w:sz w:val="22"/>
          <w:szCs w:val="22"/>
        </w:rPr>
        <w:t xml:space="preserve">terrorism and may have contributed to President Obama adding a meeting with Kenya civil society representatives to his itinerary during his </w:t>
      </w:r>
      <w:r w:rsidR="00745809">
        <w:rPr>
          <w:rFonts w:asciiTheme="minorHAnsi" w:hAnsiTheme="minorHAnsi" w:cstheme="minorHAnsi"/>
          <w:sz w:val="22"/>
          <w:szCs w:val="22"/>
        </w:rPr>
        <w:t xml:space="preserve">2015 </w:t>
      </w:r>
      <w:r w:rsidR="003D4969" w:rsidRPr="008017BB">
        <w:rPr>
          <w:rFonts w:asciiTheme="minorHAnsi" w:hAnsiTheme="minorHAnsi" w:cstheme="minorHAnsi"/>
          <w:sz w:val="22"/>
          <w:szCs w:val="22"/>
        </w:rPr>
        <w:t xml:space="preserve">visit to Kenya. A similar mission to London </w:t>
      </w:r>
      <w:r w:rsidR="00EA13DD" w:rsidRPr="008017BB">
        <w:rPr>
          <w:rFonts w:asciiTheme="minorHAnsi" w:hAnsiTheme="minorHAnsi" w:cstheme="minorHAnsi"/>
          <w:sz w:val="22"/>
          <w:szCs w:val="22"/>
        </w:rPr>
        <w:t>focused</w:t>
      </w:r>
      <w:r w:rsidR="003D4969" w:rsidRPr="008017BB">
        <w:rPr>
          <w:rFonts w:asciiTheme="minorHAnsi" w:hAnsiTheme="minorHAnsi" w:cstheme="minorHAnsi"/>
          <w:sz w:val="22"/>
          <w:szCs w:val="22"/>
        </w:rPr>
        <w:t xml:space="preserve"> as well on UK-Kenya relations and trade-offs between human rights and </w:t>
      </w:r>
      <w:r w:rsidR="00745809">
        <w:rPr>
          <w:rFonts w:asciiTheme="minorHAnsi" w:hAnsiTheme="minorHAnsi" w:cstheme="minorHAnsi"/>
          <w:sz w:val="22"/>
          <w:szCs w:val="22"/>
        </w:rPr>
        <w:t xml:space="preserve">business or capital </w:t>
      </w:r>
      <w:r w:rsidR="003D4969" w:rsidRPr="008017BB">
        <w:rPr>
          <w:rFonts w:asciiTheme="minorHAnsi" w:hAnsiTheme="minorHAnsi" w:cstheme="minorHAnsi"/>
          <w:sz w:val="22"/>
          <w:szCs w:val="22"/>
        </w:rPr>
        <w:t xml:space="preserve">investments. </w:t>
      </w:r>
    </w:p>
    <w:p w:rsidR="00E63987" w:rsidRPr="008017BB" w:rsidRDefault="003D4969" w:rsidP="00C210CA">
      <w:pPr>
        <w:spacing w:line="240" w:lineRule="auto"/>
        <w:jc w:val="both"/>
        <w:rPr>
          <w:rFonts w:cstheme="minorHAnsi"/>
          <w:b/>
          <w:bCs/>
        </w:rPr>
      </w:pPr>
      <w:r w:rsidRPr="008017BB">
        <w:rPr>
          <w:rFonts w:cstheme="minorHAnsi"/>
          <w:b/>
          <w:bCs/>
        </w:rPr>
        <w:lastRenderedPageBreak/>
        <w:t>Goal 4</w:t>
      </w:r>
      <w:r w:rsidR="00EF35B6">
        <w:rPr>
          <w:rFonts w:cstheme="minorHAnsi"/>
          <w:b/>
          <w:bCs/>
        </w:rPr>
        <w:t>: Enhance civil s</w:t>
      </w:r>
      <w:r w:rsidR="00E63987" w:rsidRPr="008017BB">
        <w:rPr>
          <w:rFonts w:cstheme="minorHAnsi"/>
          <w:b/>
          <w:bCs/>
        </w:rPr>
        <w:t>ociety organizations’ demand for accountability in elections management and increased citizens’ participation in elections</w:t>
      </w:r>
      <w:r w:rsidR="00EF35B6">
        <w:rPr>
          <w:rFonts w:cstheme="minorHAnsi"/>
          <w:b/>
          <w:bCs/>
        </w:rPr>
        <w:t xml:space="preserve">. </w:t>
      </w:r>
    </w:p>
    <w:p w:rsidR="001E4328" w:rsidRPr="008017BB" w:rsidRDefault="001D28DE" w:rsidP="00C210CA">
      <w:pPr>
        <w:spacing w:line="240" w:lineRule="auto"/>
        <w:jc w:val="both"/>
        <w:rPr>
          <w:rFonts w:cstheme="minorHAnsi"/>
          <w:bCs/>
        </w:rPr>
      </w:pPr>
      <w:r w:rsidRPr="008017BB">
        <w:rPr>
          <w:rFonts w:cstheme="minorHAnsi"/>
          <w:bCs/>
        </w:rPr>
        <w:t xml:space="preserve">In 2015 a convening of CSOs was held to discuss CSO engagement with the 2017 general elections. Amongst the issues discussed was the possibility of establishing an Election Situation Room </w:t>
      </w:r>
      <w:r w:rsidR="00EF35B6">
        <w:rPr>
          <w:rFonts w:cstheme="minorHAnsi"/>
          <w:bCs/>
        </w:rPr>
        <w:t xml:space="preserve">(ESR) </w:t>
      </w:r>
      <w:r w:rsidRPr="008017BB">
        <w:rPr>
          <w:rFonts w:cstheme="minorHAnsi"/>
          <w:bCs/>
        </w:rPr>
        <w:t xml:space="preserve">in </w:t>
      </w:r>
      <w:r w:rsidR="005D7BBB" w:rsidRPr="008017BB">
        <w:rPr>
          <w:rFonts w:cstheme="minorHAnsi"/>
          <w:bCs/>
        </w:rPr>
        <w:t>Kenya</w:t>
      </w:r>
      <w:r w:rsidRPr="008017BB">
        <w:rPr>
          <w:rFonts w:cstheme="minorHAnsi"/>
          <w:bCs/>
        </w:rPr>
        <w:t xml:space="preserve">. </w:t>
      </w:r>
      <w:r w:rsidR="00EF35B6">
        <w:rPr>
          <w:rFonts w:cstheme="minorHAnsi"/>
          <w:bCs/>
        </w:rPr>
        <w:t>O</w:t>
      </w:r>
      <w:r w:rsidR="008548DD">
        <w:rPr>
          <w:rFonts w:cstheme="minorHAnsi"/>
          <w:bCs/>
        </w:rPr>
        <w:t>SIEA’s</w:t>
      </w:r>
      <w:r w:rsidR="00EF35B6">
        <w:rPr>
          <w:rFonts w:cstheme="minorHAnsi"/>
          <w:bCs/>
        </w:rPr>
        <w:t xml:space="preserve"> support for elections-</w:t>
      </w:r>
      <w:r w:rsidR="00053139" w:rsidRPr="008017BB">
        <w:rPr>
          <w:rFonts w:cstheme="minorHAnsi"/>
          <w:bCs/>
        </w:rPr>
        <w:t>related work also included</w:t>
      </w:r>
      <w:r w:rsidR="00624017" w:rsidRPr="008017BB">
        <w:rPr>
          <w:rFonts w:cstheme="minorHAnsi"/>
          <w:bCs/>
        </w:rPr>
        <w:t xml:space="preserve"> the publication</w:t>
      </w:r>
      <w:r w:rsidR="00053139" w:rsidRPr="008017BB">
        <w:rPr>
          <w:rFonts w:cstheme="minorHAnsi"/>
          <w:bCs/>
        </w:rPr>
        <w:t xml:space="preserve"> and the launch of the book</w:t>
      </w:r>
      <w:r w:rsidR="00624017" w:rsidRPr="008017BB">
        <w:rPr>
          <w:rFonts w:cstheme="minorHAnsi"/>
          <w:bCs/>
        </w:rPr>
        <w:t xml:space="preserve"> “</w:t>
      </w:r>
      <w:r w:rsidR="00624017" w:rsidRPr="008017BB">
        <w:rPr>
          <w:rFonts w:cstheme="minorHAnsi"/>
          <w:bCs/>
          <w:i/>
        </w:rPr>
        <w:t xml:space="preserve">New Constitution, Same </w:t>
      </w:r>
      <w:r w:rsidRPr="008017BB">
        <w:rPr>
          <w:rFonts w:cstheme="minorHAnsi"/>
          <w:bCs/>
          <w:i/>
        </w:rPr>
        <w:t>Old Challenges: Reflections on K</w:t>
      </w:r>
      <w:r w:rsidR="00624017" w:rsidRPr="008017BB">
        <w:rPr>
          <w:rFonts w:cstheme="minorHAnsi"/>
          <w:bCs/>
          <w:i/>
        </w:rPr>
        <w:t xml:space="preserve">enya’s </w:t>
      </w:r>
      <w:r w:rsidR="00EE018E" w:rsidRPr="008017BB">
        <w:rPr>
          <w:rFonts w:cstheme="minorHAnsi"/>
          <w:bCs/>
          <w:i/>
        </w:rPr>
        <w:t>2013 General</w:t>
      </w:r>
      <w:r w:rsidR="00624017" w:rsidRPr="008017BB">
        <w:rPr>
          <w:rFonts w:cstheme="minorHAnsi"/>
          <w:bCs/>
          <w:i/>
        </w:rPr>
        <w:t xml:space="preserve"> Elections</w:t>
      </w:r>
      <w:r w:rsidR="00EE018E" w:rsidRPr="008017BB">
        <w:rPr>
          <w:rFonts w:cstheme="minorHAnsi"/>
          <w:bCs/>
          <w:i/>
        </w:rPr>
        <w:t xml:space="preserve">” </w:t>
      </w:r>
      <w:r w:rsidR="00EE018E" w:rsidRPr="008017BB">
        <w:rPr>
          <w:rFonts w:cstheme="minorHAnsi"/>
          <w:bCs/>
        </w:rPr>
        <w:t>whose</w:t>
      </w:r>
      <w:r w:rsidR="00624017" w:rsidRPr="008017BB">
        <w:rPr>
          <w:rFonts w:cstheme="minorHAnsi"/>
          <w:bCs/>
        </w:rPr>
        <w:t xml:space="preserve"> objective was to trigger pre-election policy dialogues before the 2017 elec</w:t>
      </w:r>
      <w:r w:rsidR="00EE018E" w:rsidRPr="008017BB">
        <w:rPr>
          <w:rFonts w:cstheme="minorHAnsi"/>
          <w:bCs/>
        </w:rPr>
        <w:t>tion</w:t>
      </w:r>
      <w:r w:rsidR="000F21E1" w:rsidRPr="008017BB">
        <w:rPr>
          <w:rFonts w:cstheme="minorHAnsi"/>
          <w:bCs/>
        </w:rPr>
        <w:t>s. T</w:t>
      </w:r>
      <w:r w:rsidR="00EE018E" w:rsidRPr="008017BB">
        <w:rPr>
          <w:rFonts w:cstheme="minorHAnsi"/>
          <w:bCs/>
        </w:rPr>
        <w:t>he</w:t>
      </w:r>
      <w:r w:rsidR="00624017" w:rsidRPr="008017BB">
        <w:rPr>
          <w:rFonts w:cstheme="minorHAnsi"/>
          <w:bCs/>
        </w:rPr>
        <w:t xml:space="preserve"> project included the holding of pre-publication</w:t>
      </w:r>
      <w:r w:rsidR="005D7BBB" w:rsidRPr="008017BB">
        <w:rPr>
          <w:rFonts w:cstheme="minorHAnsi"/>
          <w:bCs/>
        </w:rPr>
        <w:t xml:space="preserve"> forums as well as</w:t>
      </w:r>
      <w:r w:rsidR="00624017" w:rsidRPr="008017BB">
        <w:rPr>
          <w:rFonts w:cstheme="minorHAnsi"/>
          <w:bCs/>
        </w:rPr>
        <w:t xml:space="preserve"> p</w:t>
      </w:r>
      <w:r w:rsidR="00111026" w:rsidRPr="008017BB">
        <w:rPr>
          <w:rFonts w:cstheme="minorHAnsi"/>
          <w:bCs/>
        </w:rPr>
        <w:t>ost-publication forums in 5</w:t>
      </w:r>
      <w:r w:rsidR="00EE018E" w:rsidRPr="008017BB">
        <w:rPr>
          <w:rFonts w:cstheme="minorHAnsi"/>
          <w:bCs/>
        </w:rPr>
        <w:t xml:space="preserve"> counties in the country. </w:t>
      </w:r>
    </w:p>
    <w:p w:rsidR="004E3C57" w:rsidRPr="008017BB" w:rsidRDefault="003D4969" w:rsidP="00C210CA">
      <w:pPr>
        <w:spacing w:line="240" w:lineRule="auto"/>
        <w:jc w:val="both"/>
        <w:rPr>
          <w:rFonts w:cstheme="minorHAnsi"/>
          <w:b/>
          <w:bCs/>
        </w:rPr>
      </w:pPr>
      <w:r w:rsidRPr="008017BB">
        <w:rPr>
          <w:rFonts w:cstheme="minorHAnsi"/>
          <w:b/>
          <w:bCs/>
        </w:rPr>
        <w:t>Goal 5</w:t>
      </w:r>
      <w:r w:rsidR="00E63987" w:rsidRPr="008017BB">
        <w:rPr>
          <w:rFonts w:cstheme="minorHAnsi"/>
          <w:b/>
          <w:bCs/>
        </w:rPr>
        <w:t xml:space="preserve">: </w:t>
      </w:r>
      <w:r w:rsidR="006406EC" w:rsidRPr="008017BB">
        <w:rPr>
          <w:rFonts w:cstheme="minorHAnsi"/>
          <w:b/>
          <w:bCs/>
        </w:rPr>
        <w:t>Increase demand for accountability by government and oil comp</w:t>
      </w:r>
      <w:r w:rsidR="00185C4E" w:rsidRPr="008017BB">
        <w:rPr>
          <w:rFonts w:cstheme="minorHAnsi"/>
          <w:b/>
          <w:bCs/>
        </w:rPr>
        <w:t>anies in the extraction of oil.</w:t>
      </w:r>
    </w:p>
    <w:p w:rsidR="007179B2" w:rsidRPr="008017BB" w:rsidRDefault="007179B2" w:rsidP="00C210CA">
      <w:pPr>
        <w:spacing w:line="240" w:lineRule="auto"/>
        <w:jc w:val="both"/>
        <w:rPr>
          <w:rFonts w:cstheme="minorHAnsi"/>
        </w:rPr>
      </w:pPr>
      <w:r w:rsidRPr="008017BB">
        <w:rPr>
          <w:rFonts w:cstheme="minorHAnsi"/>
        </w:rPr>
        <w:t>Under this goal OSIEA supported policy and advocacy work by the Institute for Law and En</w:t>
      </w:r>
      <w:r w:rsidR="00913EC8" w:rsidRPr="008017BB">
        <w:rPr>
          <w:rFonts w:cstheme="minorHAnsi"/>
        </w:rPr>
        <w:t>vironmental Governance (ILEG); f</w:t>
      </w:r>
      <w:r w:rsidRPr="008017BB">
        <w:rPr>
          <w:rFonts w:cstheme="minorHAnsi"/>
        </w:rPr>
        <w:t>ilm production by Content House</w:t>
      </w:r>
      <w:r w:rsidR="002A3DD0" w:rsidRPr="008017BB">
        <w:rPr>
          <w:rFonts w:cstheme="minorHAnsi"/>
        </w:rPr>
        <w:t>;</w:t>
      </w:r>
      <w:r w:rsidRPr="008017BB">
        <w:rPr>
          <w:rFonts w:cstheme="minorHAnsi"/>
        </w:rPr>
        <w:t xml:space="preserve"> and research and publication by</w:t>
      </w:r>
      <w:r w:rsidR="0043579E" w:rsidRPr="008017BB">
        <w:rPr>
          <w:rFonts w:cstheme="minorHAnsi"/>
        </w:rPr>
        <w:t xml:space="preserve"> the United States International University</w:t>
      </w:r>
      <w:r w:rsidR="002A3DD0" w:rsidRPr="008017BB">
        <w:rPr>
          <w:rFonts w:cstheme="minorHAnsi"/>
        </w:rPr>
        <w:t xml:space="preserve"> (USIU)</w:t>
      </w:r>
      <w:r w:rsidR="008C25E7">
        <w:rPr>
          <w:rFonts w:cstheme="minorHAnsi"/>
        </w:rPr>
        <w:t>-</w:t>
      </w:r>
      <w:r w:rsidR="0043579E" w:rsidRPr="008017BB">
        <w:rPr>
          <w:rFonts w:cstheme="minorHAnsi"/>
        </w:rPr>
        <w:t>Africa</w:t>
      </w:r>
      <w:r w:rsidRPr="008017BB">
        <w:rPr>
          <w:rFonts w:cstheme="minorHAnsi"/>
        </w:rPr>
        <w:t xml:space="preserve"> in collaboration with the Kenya School of Government</w:t>
      </w:r>
      <w:r w:rsidR="0043579E" w:rsidRPr="008017BB">
        <w:rPr>
          <w:rFonts w:cstheme="minorHAnsi"/>
        </w:rPr>
        <w:t xml:space="preserve"> (KSG)</w:t>
      </w:r>
      <w:r w:rsidRPr="008017BB">
        <w:rPr>
          <w:rFonts w:cstheme="minorHAnsi"/>
        </w:rPr>
        <w:t>.</w:t>
      </w:r>
      <w:r w:rsidR="00E27249" w:rsidRPr="008017BB">
        <w:rPr>
          <w:rFonts w:cstheme="minorHAnsi"/>
        </w:rPr>
        <w:t xml:space="preserve"> These partners invested in</w:t>
      </w:r>
      <w:r w:rsidR="00185C4E" w:rsidRPr="008017BB">
        <w:rPr>
          <w:rFonts w:cstheme="minorHAnsi"/>
        </w:rPr>
        <w:t xml:space="preserve"> community learnin</w:t>
      </w:r>
      <w:r w:rsidR="00666CF5" w:rsidRPr="008017BB">
        <w:rPr>
          <w:rFonts w:cstheme="minorHAnsi"/>
        </w:rPr>
        <w:t xml:space="preserve">g and promoted </w:t>
      </w:r>
      <w:r w:rsidR="00185C4E" w:rsidRPr="008017BB">
        <w:rPr>
          <w:rFonts w:cstheme="minorHAnsi"/>
        </w:rPr>
        <w:t xml:space="preserve">dialogue amongst </w:t>
      </w:r>
      <w:r w:rsidR="0023211A">
        <w:rPr>
          <w:rFonts w:cstheme="minorHAnsi"/>
        </w:rPr>
        <w:t>communities</w:t>
      </w:r>
      <w:r w:rsidR="00185C4E" w:rsidRPr="008017BB">
        <w:rPr>
          <w:rFonts w:cstheme="minorHAnsi"/>
        </w:rPr>
        <w:t xml:space="preserve">, </w:t>
      </w:r>
      <w:r w:rsidR="00AE4870">
        <w:rPr>
          <w:rFonts w:cstheme="minorHAnsi"/>
        </w:rPr>
        <w:t>c</w:t>
      </w:r>
      <w:r w:rsidR="00185C4E" w:rsidRPr="008017BB">
        <w:rPr>
          <w:rFonts w:cstheme="minorHAnsi"/>
        </w:rPr>
        <w:t>ounty government</w:t>
      </w:r>
      <w:r w:rsidR="00E27249" w:rsidRPr="008017BB">
        <w:rPr>
          <w:rFonts w:cstheme="minorHAnsi"/>
        </w:rPr>
        <w:t>s</w:t>
      </w:r>
      <w:r w:rsidR="00185C4E" w:rsidRPr="008017BB">
        <w:rPr>
          <w:rFonts w:cstheme="minorHAnsi"/>
        </w:rPr>
        <w:t xml:space="preserve"> and oil companies in both Turkana</w:t>
      </w:r>
      <w:r w:rsidR="00913EC8" w:rsidRPr="008017BB">
        <w:rPr>
          <w:rFonts w:cstheme="minorHAnsi"/>
        </w:rPr>
        <w:t xml:space="preserve"> County</w:t>
      </w:r>
      <w:r w:rsidR="00185C4E" w:rsidRPr="008017BB">
        <w:rPr>
          <w:rFonts w:cstheme="minorHAnsi"/>
        </w:rPr>
        <w:t xml:space="preserve"> and Nyakach in Kisumu County. </w:t>
      </w:r>
      <w:r w:rsidR="00913EC8" w:rsidRPr="008017BB">
        <w:rPr>
          <w:rFonts w:cstheme="minorHAnsi"/>
        </w:rPr>
        <w:t>Some of the work focused on capturing the voices of communities on oil explor</w:t>
      </w:r>
      <w:r w:rsidR="008441D7" w:rsidRPr="008017BB">
        <w:rPr>
          <w:rFonts w:cstheme="minorHAnsi"/>
        </w:rPr>
        <w:t>ation</w:t>
      </w:r>
      <w:r w:rsidR="00354A91" w:rsidRPr="008017BB">
        <w:rPr>
          <w:rFonts w:cstheme="minorHAnsi"/>
        </w:rPr>
        <w:t xml:space="preserve"> and extraction.</w:t>
      </w:r>
      <w:r w:rsidR="0023211A">
        <w:rPr>
          <w:rFonts w:cstheme="minorHAnsi"/>
        </w:rPr>
        <w:t xml:space="preserve"> </w:t>
      </w:r>
      <w:r w:rsidR="00913EC8" w:rsidRPr="008017BB">
        <w:rPr>
          <w:rFonts w:cstheme="minorHAnsi"/>
        </w:rPr>
        <w:t>Par</w:t>
      </w:r>
      <w:r w:rsidR="00C20425" w:rsidRPr="008017BB">
        <w:rPr>
          <w:rFonts w:cstheme="minorHAnsi"/>
        </w:rPr>
        <w:t>tners also participated</w:t>
      </w:r>
      <w:r w:rsidR="00185C4E" w:rsidRPr="008017BB">
        <w:rPr>
          <w:rFonts w:cstheme="minorHAnsi"/>
        </w:rPr>
        <w:t xml:space="preserve"> in policy formulation and contribut</w:t>
      </w:r>
      <w:r w:rsidR="002A3DD0" w:rsidRPr="008017BB">
        <w:rPr>
          <w:rFonts w:cstheme="minorHAnsi"/>
        </w:rPr>
        <w:t xml:space="preserve">ed </w:t>
      </w:r>
      <w:r w:rsidR="00185C4E" w:rsidRPr="008017BB">
        <w:rPr>
          <w:rFonts w:cstheme="minorHAnsi"/>
        </w:rPr>
        <w:t xml:space="preserve">to proposed sector laws. </w:t>
      </w:r>
      <w:r w:rsidR="00913EC8" w:rsidRPr="008017BB">
        <w:rPr>
          <w:rFonts w:cstheme="minorHAnsi"/>
        </w:rPr>
        <w:t xml:space="preserve">There was investment in knowledge production and sharing through research and publication. </w:t>
      </w:r>
    </w:p>
    <w:p w:rsidR="00E904CE" w:rsidRPr="008017BB" w:rsidRDefault="008441D7" w:rsidP="00C210CA">
      <w:pPr>
        <w:spacing w:line="240" w:lineRule="auto"/>
        <w:jc w:val="both"/>
        <w:rPr>
          <w:rFonts w:cstheme="minorHAnsi"/>
        </w:rPr>
      </w:pPr>
      <w:r w:rsidRPr="008017BB">
        <w:rPr>
          <w:rFonts w:cstheme="minorHAnsi"/>
        </w:rPr>
        <w:t>In November 2015 the KSG and USIU</w:t>
      </w:r>
      <w:r w:rsidR="008C25E7">
        <w:rPr>
          <w:rFonts w:cstheme="minorHAnsi"/>
        </w:rPr>
        <w:t>-Africa</w:t>
      </w:r>
      <w:r w:rsidRPr="008017BB">
        <w:rPr>
          <w:rFonts w:cstheme="minorHAnsi"/>
        </w:rPr>
        <w:t xml:space="preserve"> </w:t>
      </w:r>
      <w:r w:rsidR="00FF3D8D" w:rsidRPr="008017BB">
        <w:rPr>
          <w:rFonts w:cstheme="minorHAnsi"/>
        </w:rPr>
        <w:t xml:space="preserve">launched the report of an OSIEA supported research on oil and gas in Turkana titled </w:t>
      </w:r>
      <w:r w:rsidR="00FF3D8D" w:rsidRPr="008017BB">
        <w:rPr>
          <w:rFonts w:cstheme="minorHAnsi"/>
          <w:i/>
        </w:rPr>
        <w:t xml:space="preserve">Conflict, Security and the Extractive Industries in Turkana: Emerging Issues 2012 -2015. </w:t>
      </w:r>
      <w:r w:rsidR="00E27249" w:rsidRPr="008017BB">
        <w:rPr>
          <w:rFonts w:cstheme="minorHAnsi"/>
        </w:rPr>
        <w:t xml:space="preserve"> The </w:t>
      </w:r>
      <w:r w:rsidR="00913EC8" w:rsidRPr="008017BB">
        <w:rPr>
          <w:rFonts w:cstheme="minorHAnsi"/>
        </w:rPr>
        <w:t>findings</w:t>
      </w:r>
      <w:r w:rsidR="00E27249" w:rsidRPr="008017BB">
        <w:rPr>
          <w:rFonts w:cstheme="minorHAnsi"/>
        </w:rPr>
        <w:t xml:space="preserve"> of the report</w:t>
      </w:r>
      <w:r w:rsidR="00913EC8" w:rsidRPr="008017BB">
        <w:rPr>
          <w:rFonts w:cstheme="minorHAnsi"/>
        </w:rPr>
        <w:t xml:space="preserve"> </w:t>
      </w:r>
      <w:r w:rsidR="008C25E7">
        <w:rPr>
          <w:rFonts w:cstheme="minorHAnsi"/>
        </w:rPr>
        <w:t xml:space="preserve">are </w:t>
      </w:r>
      <w:r w:rsidR="00913EC8" w:rsidRPr="008017BB">
        <w:rPr>
          <w:rFonts w:cstheme="minorHAnsi"/>
        </w:rPr>
        <w:t>contribut</w:t>
      </w:r>
      <w:r w:rsidR="008C25E7">
        <w:rPr>
          <w:rFonts w:cstheme="minorHAnsi"/>
        </w:rPr>
        <w:t>ing</w:t>
      </w:r>
      <w:r w:rsidR="00FF3D8D" w:rsidRPr="008017BB">
        <w:rPr>
          <w:rFonts w:cstheme="minorHAnsi"/>
        </w:rPr>
        <w:t xml:space="preserve"> to th</w:t>
      </w:r>
      <w:r w:rsidR="0043579E" w:rsidRPr="008017BB">
        <w:rPr>
          <w:rFonts w:cstheme="minorHAnsi"/>
        </w:rPr>
        <w:t>e growing but</w:t>
      </w:r>
      <w:r w:rsidRPr="008017BB">
        <w:rPr>
          <w:rFonts w:cstheme="minorHAnsi"/>
        </w:rPr>
        <w:t xml:space="preserve"> still very nascent </w:t>
      </w:r>
      <w:r w:rsidR="00FF3D8D" w:rsidRPr="008017BB">
        <w:rPr>
          <w:rFonts w:cstheme="minorHAnsi"/>
        </w:rPr>
        <w:t xml:space="preserve">body of work on oil governance in Kenya. The </w:t>
      </w:r>
      <w:r w:rsidR="00FB0B21" w:rsidRPr="008017BB">
        <w:rPr>
          <w:rFonts w:cstheme="minorHAnsi"/>
        </w:rPr>
        <w:t xml:space="preserve">uptake </w:t>
      </w:r>
      <w:r w:rsidR="00FF3D8D" w:rsidRPr="008017BB">
        <w:rPr>
          <w:rFonts w:cstheme="minorHAnsi"/>
        </w:rPr>
        <w:t>so far has been encouraging with various policy makers</w:t>
      </w:r>
      <w:r w:rsidR="00745809">
        <w:rPr>
          <w:rFonts w:cstheme="minorHAnsi"/>
        </w:rPr>
        <w:t xml:space="preserve"> engaging the researchers on their</w:t>
      </w:r>
      <w:r w:rsidR="00FF3D8D" w:rsidRPr="008017BB">
        <w:rPr>
          <w:rFonts w:cstheme="minorHAnsi"/>
        </w:rPr>
        <w:t xml:space="preserve"> findings i</w:t>
      </w:r>
      <w:r w:rsidR="00FB0B21" w:rsidRPr="008017BB">
        <w:rPr>
          <w:rFonts w:cstheme="minorHAnsi"/>
        </w:rPr>
        <w:t>n post-launch events including 2</w:t>
      </w:r>
      <w:r w:rsidR="00FF3D8D" w:rsidRPr="008017BB">
        <w:rPr>
          <w:rFonts w:cstheme="minorHAnsi"/>
        </w:rPr>
        <w:t xml:space="preserve"> event</w:t>
      </w:r>
      <w:r w:rsidR="00FB0B21" w:rsidRPr="008017BB">
        <w:rPr>
          <w:rFonts w:cstheme="minorHAnsi"/>
        </w:rPr>
        <w:t>s</w:t>
      </w:r>
      <w:r w:rsidR="00FF3D8D" w:rsidRPr="008017BB">
        <w:rPr>
          <w:rFonts w:cstheme="minorHAnsi"/>
        </w:rPr>
        <w:t xml:space="preserve"> with members of parliament</w:t>
      </w:r>
      <w:r w:rsidR="008C25E7">
        <w:rPr>
          <w:rFonts w:cstheme="minorHAnsi"/>
        </w:rPr>
        <w:t xml:space="preserve"> (MPs)</w:t>
      </w:r>
      <w:r w:rsidR="00FF3D8D" w:rsidRPr="008017BB">
        <w:rPr>
          <w:rFonts w:cstheme="minorHAnsi"/>
        </w:rPr>
        <w:t xml:space="preserve"> from </w:t>
      </w:r>
      <w:r w:rsidR="00FB0B21" w:rsidRPr="008017BB">
        <w:rPr>
          <w:rFonts w:cstheme="minorHAnsi"/>
        </w:rPr>
        <w:t xml:space="preserve">Turkana </w:t>
      </w:r>
      <w:r w:rsidR="00FF3D8D" w:rsidRPr="008017BB">
        <w:rPr>
          <w:rFonts w:cstheme="minorHAnsi"/>
        </w:rPr>
        <w:t>and</w:t>
      </w:r>
      <w:r w:rsidR="00FB0B21" w:rsidRPr="008017BB">
        <w:rPr>
          <w:rFonts w:cstheme="minorHAnsi"/>
        </w:rPr>
        <w:t xml:space="preserve"> Mandera Counties</w:t>
      </w:r>
      <w:r w:rsidR="00FF3D8D" w:rsidRPr="008017BB">
        <w:rPr>
          <w:rFonts w:cstheme="minorHAnsi"/>
        </w:rPr>
        <w:t xml:space="preserve">. </w:t>
      </w:r>
    </w:p>
    <w:p w:rsidR="006406EC" w:rsidRPr="008017BB" w:rsidRDefault="003D4969" w:rsidP="00C210CA">
      <w:pPr>
        <w:spacing w:line="240" w:lineRule="auto"/>
        <w:jc w:val="both"/>
        <w:rPr>
          <w:rFonts w:cstheme="minorHAnsi"/>
          <w:b/>
          <w:bCs/>
        </w:rPr>
      </w:pPr>
      <w:r w:rsidRPr="008017BB">
        <w:rPr>
          <w:rFonts w:cstheme="minorHAnsi"/>
          <w:b/>
          <w:bCs/>
        </w:rPr>
        <w:t>Goal 6</w:t>
      </w:r>
      <w:r w:rsidR="004E3C57" w:rsidRPr="008017BB">
        <w:rPr>
          <w:rFonts w:cstheme="minorHAnsi"/>
          <w:b/>
          <w:bCs/>
        </w:rPr>
        <w:t>:</w:t>
      </w:r>
      <w:r w:rsidR="008C25E7">
        <w:rPr>
          <w:rFonts w:cstheme="minorHAnsi"/>
          <w:b/>
          <w:bCs/>
        </w:rPr>
        <w:t xml:space="preserve"> </w:t>
      </w:r>
      <w:r w:rsidR="004E3C57" w:rsidRPr="008017BB">
        <w:rPr>
          <w:rFonts w:cstheme="minorHAnsi"/>
          <w:b/>
          <w:bCs/>
        </w:rPr>
        <w:t xml:space="preserve">Increase demand for enforcement of laws and </w:t>
      </w:r>
      <w:r w:rsidR="00FF3D8D" w:rsidRPr="008017BB">
        <w:rPr>
          <w:rFonts w:cstheme="minorHAnsi"/>
          <w:b/>
          <w:bCs/>
        </w:rPr>
        <w:t>policies tackling</w:t>
      </w:r>
      <w:r w:rsidR="004E3C57" w:rsidRPr="008017BB">
        <w:rPr>
          <w:rFonts w:cstheme="minorHAnsi"/>
          <w:b/>
          <w:bCs/>
        </w:rPr>
        <w:t xml:space="preserve"> corruption and financial mismanagement</w:t>
      </w:r>
      <w:r w:rsidR="008C25E7">
        <w:rPr>
          <w:rFonts w:cstheme="minorHAnsi"/>
          <w:b/>
          <w:bCs/>
        </w:rPr>
        <w:t>.</w:t>
      </w:r>
    </w:p>
    <w:p w:rsidR="00251E53" w:rsidRPr="008017BB" w:rsidRDefault="00251E53" w:rsidP="00C210CA">
      <w:pPr>
        <w:spacing w:line="240" w:lineRule="auto"/>
        <w:jc w:val="both"/>
        <w:rPr>
          <w:rFonts w:cstheme="minorHAnsi"/>
          <w:bCs/>
        </w:rPr>
      </w:pPr>
      <w:r w:rsidRPr="008017BB">
        <w:rPr>
          <w:rFonts w:cstheme="minorHAnsi"/>
          <w:bCs/>
        </w:rPr>
        <w:t xml:space="preserve">In 2015 </w:t>
      </w:r>
      <w:r w:rsidR="008548DD">
        <w:rPr>
          <w:rFonts w:cstheme="minorHAnsi"/>
          <w:bCs/>
        </w:rPr>
        <w:t xml:space="preserve">the program’s </w:t>
      </w:r>
      <w:r w:rsidRPr="008017BB">
        <w:rPr>
          <w:rFonts w:cstheme="minorHAnsi"/>
          <w:bCs/>
        </w:rPr>
        <w:t xml:space="preserve">work on corruption and accountability included awareness raising and research on chapter 6 of the 2010 </w:t>
      </w:r>
      <w:r w:rsidR="002A3DD0" w:rsidRPr="008017BB">
        <w:rPr>
          <w:rFonts w:cstheme="minorHAnsi"/>
          <w:bCs/>
        </w:rPr>
        <w:t>constitution (</w:t>
      </w:r>
      <w:r w:rsidRPr="008017BB">
        <w:rPr>
          <w:rFonts w:cstheme="minorHAnsi"/>
          <w:bCs/>
        </w:rPr>
        <w:t>on leadership and integrity</w:t>
      </w:r>
      <w:r w:rsidR="002A3DD0" w:rsidRPr="008017BB">
        <w:rPr>
          <w:rFonts w:cstheme="minorHAnsi"/>
          <w:bCs/>
        </w:rPr>
        <w:t>)</w:t>
      </w:r>
      <w:r w:rsidRPr="008017BB">
        <w:rPr>
          <w:rFonts w:cstheme="minorHAnsi"/>
          <w:bCs/>
        </w:rPr>
        <w:t>; litigation that stopped the unaccountable/wast</w:t>
      </w:r>
      <w:r w:rsidR="002A3DD0" w:rsidRPr="008017BB">
        <w:rPr>
          <w:rFonts w:cstheme="minorHAnsi"/>
          <w:bCs/>
        </w:rPr>
        <w:t xml:space="preserve">eful use public resources; and </w:t>
      </w:r>
      <w:r w:rsidRPr="008017BB">
        <w:rPr>
          <w:rFonts w:cstheme="minorHAnsi"/>
          <w:bCs/>
        </w:rPr>
        <w:t xml:space="preserve">the social auditing by communities of government delivery of public services and implementation of development projects. </w:t>
      </w:r>
    </w:p>
    <w:p w:rsidR="00127330" w:rsidRPr="008017BB" w:rsidRDefault="00541C72" w:rsidP="00C210CA">
      <w:pPr>
        <w:spacing w:line="240" w:lineRule="auto"/>
        <w:jc w:val="both"/>
        <w:rPr>
          <w:rFonts w:cstheme="minorHAnsi"/>
          <w:bCs/>
        </w:rPr>
      </w:pPr>
      <w:r w:rsidRPr="008017BB">
        <w:rPr>
          <w:rFonts w:cstheme="minorHAnsi"/>
          <w:bCs/>
        </w:rPr>
        <w:t>Despite years of</w:t>
      </w:r>
      <w:r w:rsidR="00E520D7" w:rsidRPr="008017BB">
        <w:rPr>
          <w:rFonts w:cstheme="minorHAnsi"/>
          <w:bCs/>
        </w:rPr>
        <w:t xml:space="preserve"> investment by OSIEA partners and other actors</w:t>
      </w:r>
      <w:r w:rsidR="00185C4E" w:rsidRPr="008017BB">
        <w:rPr>
          <w:rFonts w:cstheme="minorHAnsi"/>
          <w:bCs/>
        </w:rPr>
        <w:t>, corruption</w:t>
      </w:r>
      <w:r w:rsidR="00745809">
        <w:rPr>
          <w:rFonts w:cstheme="minorHAnsi"/>
          <w:bCs/>
        </w:rPr>
        <w:t xml:space="preserve"> in the country has now </w:t>
      </w:r>
      <w:r w:rsidR="002A3DD0" w:rsidRPr="008017BB">
        <w:rPr>
          <w:rFonts w:cstheme="minorHAnsi"/>
          <w:bCs/>
        </w:rPr>
        <w:t xml:space="preserve">hit </w:t>
      </w:r>
      <w:r w:rsidR="00745809">
        <w:rPr>
          <w:rFonts w:cstheme="minorHAnsi"/>
          <w:bCs/>
        </w:rPr>
        <w:t>dizzying levels; i</w:t>
      </w:r>
      <w:r w:rsidR="00E520D7" w:rsidRPr="008017BB">
        <w:rPr>
          <w:rFonts w:cstheme="minorHAnsi"/>
          <w:bCs/>
        </w:rPr>
        <w:t xml:space="preserve">t is </w:t>
      </w:r>
      <w:r w:rsidR="002A3DD0" w:rsidRPr="008017BB">
        <w:rPr>
          <w:rFonts w:cstheme="minorHAnsi"/>
          <w:bCs/>
        </w:rPr>
        <w:t>p</w:t>
      </w:r>
      <w:r w:rsidR="00E520D7" w:rsidRPr="008017BB">
        <w:rPr>
          <w:rFonts w:cstheme="minorHAnsi"/>
          <w:bCs/>
        </w:rPr>
        <w:t>ervasive</w:t>
      </w:r>
      <w:r w:rsidR="00745809">
        <w:rPr>
          <w:rFonts w:cstheme="minorHAnsi"/>
          <w:bCs/>
        </w:rPr>
        <w:t xml:space="preserve"> and seem</w:t>
      </w:r>
      <w:r w:rsidR="008C25E7">
        <w:rPr>
          <w:rFonts w:cstheme="minorHAnsi"/>
          <w:bCs/>
        </w:rPr>
        <w:t>s</w:t>
      </w:r>
      <w:r w:rsidR="00745809">
        <w:rPr>
          <w:rFonts w:cstheme="minorHAnsi"/>
          <w:bCs/>
        </w:rPr>
        <w:t xml:space="preserve"> to defy attempts for accountability. </w:t>
      </w:r>
    </w:p>
    <w:p w:rsidR="00E520D7" w:rsidRPr="008017BB" w:rsidRDefault="008C25E7" w:rsidP="00C210CA">
      <w:pPr>
        <w:spacing w:line="240" w:lineRule="auto"/>
        <w:jc w:val="both"/>
        <w:rPr>
          <w:rFonts w:cstheme="minorHAnsi"/>
          <w:b/>
          <w:bCs/>
          <w:iCs/>
        </w:rPr>
      </w:pPr>
      <w:r w:rsidRPr="008017BB">
        <w:rPr>
          <w:rFonts w:cstheme="minorHAnsi"/>
          <w:b/>
          <w:bCs/>
          <w:iCs/>
        </w:rPr>
        <w:t>OSIEA INITIATIVE</w:t>
      </w:r>
      <w:r>
        <w:rPr>
          <w:rFonts w:cstheme="minorHAnsi"/>
          <w:b/>
          <w:bCs/>
          <w:iCs/>
        </w:rPr>
        <w:t>: COMPLIMENTARITY</w:t>
      </w:r>
    </w:p>
    <w:p w:rsidR="00622CF8" w:rsidRPr="008017BB" w:rsidRDefault="00622CF8" w:rsidP="00C210CA">
      <w:pPr>
        <w:spacing w:line="240" w:lineRule="auto"/>
        <w:jc w:val="both"/>
        <w:rPr>
          <w:rFonts w:cstheme="minorHAnsi"/>
        </w:rPr>
      </w:pPr>
      <w:r w:rsidRPr="008017BB">
        <w:rPr>
          <w:rFonts w:cstheme="minorHAnsi"/>
          <w:b/>
        </w:rPr>
        <w:t>Strategic litigation and advocacy to hold perpetrators accountable for international crimes committed during the 2007/8 post-election violence in Ken</w:t>
      </w:r>
      <w:r w:rsidR="008C25E7">
        <w:rPr>
          <w:rFonts w:cstheme="minorHAnsi"/>
          <w:b/>
        </w:rPr>
        <w:t>ya.</w:t>
      </w:r>
    </w:p>
    <w:p w:rsidR="00622CF8" w:rsidRPr="008017BB" w:rsidRDefault="00622CF8" w:rsidP="00C210CA">
      <w:pPr>
        <w:spacing w:line="240" w:lineRule="auto"/>
        <w:jc w:val="both"/>
        <w:rPr>
          <w:rFonts w:cstheme="minorHAnsi"/>
        </w:rPr>
      </w:pPr>
      <w:r w:rsidRPr="008017BB">
        <w:rPr>
          <w:rFonts w:cstheme="minorHAnsi"/>
        </w:rPr>
        <w:t xml:space="preserve">Despite the slow movement of the litigation that began in 2013, the </w:t>
      </w:r>
      <w:r w:rsidR="00315BD5" w:rsidRPr="008017BB">
        <w:rPr>
          <w:rFonts w:cstheme="minorHAnsi"/>
        </w:rPr>
        <w:t>victims and</w:t>
      </w:r>
      <w:r w:rsidRPr="008017BB">
        <w:rPr>
          <w:rFonts w:cstheme="minorHAnsi"/>
        </w:rPr>
        <w:t xml:space="preserve"> petitioners in the sexual and gender based violence </w:t>
      </w:r>
      <w:r w:rsidR="00F359E0" w:rsidRPr="008017BB">
        <w:rPr>
          <w:rFonts w:cstheme="minorHAnsi"/>
        </w:rPr>
        <w:t xml:space="preserve">(SGBV) </w:t>
      </w:r>
      <w:r w:rsidRPr="008017BB">
        <w:rPr>
          <w:rFonts w:cstheme="minorHAnsi"/>
        </w:rPr>
        <w:t>c</w:t>
      </w:r>
      <w:r w:rsidR="0001573A" w:rsidRPr="008017BB">
        <w:rPr>
          <w:rFonts w:cstheme="minorHAnsi"/>
        </w:rPr>
        <w:t xml:space="preserve">ase all </w:t>
      </w:r>
      <w:r w:rsidRPr="008017BB">
        <w:rPr>
          <w:rFonts w:cstheme="minorHAnsi"/>
        </w:rPr>
        <w:t>comple</w:t>
      </w:r>
      <w:r w:rsidR="002A3DD0" w:rsidRPr="008017BB">
        <w:rPr>
          <w:rFonts w:cstheme="minorHAnsi"/>
        </w:rPr>
        <w:t>ted giving their oral evidence</w:t>
      </w:r>
      <w:r w:rsidRPr="008017BB">
        <w:rPr>
          <w:rFonts w:cstheme="minorHAnsi"/>
        </w:rPr>
        <w:t xml:space="preserve">. There are still more </w:t>
      </w:r>
      <w:r w:rsidR="008C25E7">
        <w:rPr>
          <w:rFonts w:cstheme="minorHAnsi"/>
        </w:rPr>
        <w:t>witnesses left to testify, including</w:t>
      </w:r>
      <w:r w:rsidRPr="008017BB">
        <w:rPr>
          <w:rFonts w:cstheme="minorHAnsi"/>
        </w:rPr>
        <w:t xml:space="preserve"> experts, psychologists, psychiatrist</w:t>
      </w:r>
      <w:r w:rsidR="001B2239">
        <w:rPr>
          <w:rFonts w:cstheme="minorHAnsi"/>
        </w:rPr>
        <w:t>s</w:t>
      </w:r>
      <w:r w:rsidRPr="008017BB">
        <w:rPr>
          <w:rFonts w:cstheme="minorHAnsi"/>
        </w:rPr>
        <w:t xml:space="preserve"> and nurses. To amplify advocacy for this case, a grant of USD 50,000 was given</w:t>
      </w:r>
      <w:r w:rsidR="008C25E7">
        <w:rPr>
          <w:rFonts w:cstheme="minorHAnsi"/>
        </w:rPr>
        <w:t xml:space="preserve"> to</w:t>
      </w:r>
      <w:r w:rsidRPr="008017BB">
        <w:rPr>
          <w:rFonts w:cstheme="minorHAnsi"/>
        </w:rPr>
        <w:t xml:space="preserve"> the Kenyan chapter of Physici</w:t>
      </w:r>
      <w:r w:rsidR="001B2239">
        <w:rPr>
          <w:rFonts w:cstheme="minorHAnsi"/>
        </w:rPr>
        <w:t xml:space="preserve">ans for Human Rights (PHR) to </w:t>
      </w:r>
      <w:r w:rsidRPr="008017BB">
        <w:rPr>
          <w:rFonts w:cstheme="minorHAnsi"/>
        </w:rPr>
        <w:t>lead an advocacy strategy agreed u</w:t>
      </w:r>
      <w:r w:rsidR="008C25E7">
        <w:rPr>
          <w:rFonts w:cstheme="minorHAnsi"/>
        </w:rPr>
        <w:t>pon by a</w:t>
      </w:r>
      <w:r w:rsidRPr="008017BB">
        <w:rPr>
          <w:rFonts w:cstheme="minorHAnsi"/>
        </w:rPr>
        <w:t xml:space="preserve"> consortium of OSIEA partners, OSIEA and </w:t>
      </w:r>
      <w:r w:rsidR="008C25E7">
        <w:rPr>
          <w:rFonts w:cstheme="minorHAnsi"/>
        </w:rPr>
        <w:t>the Open Society Foundations’ (OSF’s)</w:t>
      </w:r>
      <w:r w:rsidRPr="008017BB">
        <w:rPr>
          <w:rFonts w:cstheme="minorHAnsi"/>
        </w:rPr>
        <w:t xml:space="preserve"> Justice Initiative during a strategy meeting in Nairobi. </w:t>
      </w:r>
    </w:p>
    <w:p w:rsidR="001F2590" w:rsidRPr="008017BB" w:rsidRDefault="00622CF8" w:rsidP="00C210CA">
      <w:pPr>
        <w:spacing w:line="240" w:lineRule="auto"/>
        <w:jc w:val="both"/>
        <w:rPr>
          <w:rFonts w:cstheme="minorHAnsi"/>
        </w:rPr>
      </w:pPr>
      <w:r w:rsidRPr="008017BB">
        <w:rPr>
          <w:rFonts w:cstheme="minorHAnsi"/>
        </w:rPr>
        <w:lastRenderedPageBreak/>
        <w:t>The police shooting case filed in Kisumu also finally obtained a mention date at the Kisumu High Court in Dec</w:t>
      </w:r>
      <w:r w:rsidR="008C25E7">
        <w:rPr>
          <w:rFonts w:cstheme="minorHAnsi"/>
        </w:rPr>
        <w:t xml:space="preserve">ember. </w:t>
      </w:r>
      <w:r w:rsidR="001B2239">
        <w:rPr>
          <w:rFonts w:cstheme="minorHAnsi"/>
        </w:rPr>
        <w:t xml:space="preserve">The Attorney General however still did not respond </w:t>
      </w:r>
      <w:r w:rsidRPr="008017BB">
        <w:rPr>
          <w:rFonts w:cstheme="minorHAnsi"/>
        </w:rPr>
        <w:t xml:space="preserve">to the petition. The Kenya National Commission on Human Rights (KNCHR) agreed to take a more active role in this litigation </w:t>
      </w:r>
      <w:r w:rsidR="001B2239">
        <w:rPr>
          <w:rFonts w:cstheme="minorHAnsi"/>
        </w:rPr>
        <w:t xml:space="preserve">in order to </w:t>
      </w:r>
      <w:r w:rsidRPr="008017BB">
        <w:rPr>
          <w:rFonts w:cstheme="minorHAnsi"/>
        </w:rPr>
        <w:t xml:space="preserve">add traction to the case. </w:t>
      </w:r>
    </w:p>
    <w:p w:rsidR="00622CF8" w:rsidRPr="001B2239" w:rsidRDefault="001B2239" w:rsidP="00C210CA">
      <w:pPr>
        <w:spacing w:line="240" w:lineRule="auto"/>
        <w:jc w:val="both"/>
        <w:rPr>
          <w:rFonts w:cstheme="minorHAnsi"/>
        </w:rPr>
      </w:pPr>
      <w:r>
        <w:rPr>
          <w:rFonts w:cstheme="minorHAnsi"/>
        </w:rPr>
        <w:t xml:space="preserve">In his </w:t>
      </w:r>
      <w:r w:rsidR="00622CF8" w:rsidRPr="008017BB">
        <w:rPr>
          <w:rFonts w:cstheme="minorHAnsi"/>
        </w:rPr>
        <w:t>State of the Nation address in Marc</w:t>
      </w:r>
      <w:r>
        <w:rPr>
          <w:rFonts w:cstheme="minorHAnsi"/>
        </w:rPr>
        <w:t>h and fo</w:t>
      </w:r>
      <w:r w:rsidR="0001573A" w:rsidRPr="008017BB">
        <w:rPr>
          <w:rFonts w:cstheme="minorHAnsi"/>
        </w:rPr>
        <w:t xml:space="preserve">r the first time since the 2007 </w:t>
      </w:r>
      <w:r w:rsidR="00622CF8" w:rsidRPr="008017BB">
        <w:rPr>
          <w:rFonts w:cstheme="minorHAnsi"/>
        </w:rPr>
        <w:t>post-election violence</w:t>
      </w:r>
      <w:r w:rsidR="0001573A" w:rsidRPr="008017BB">
        <w:rPr>
          <w:rFonts w:cstheme="minorHAnsi"/>
        </w:rPr>
        <w:t xml:space="preserve"> (PEV), President </w:t>
      </w:r>
      <w:r w:rsidR="00622CF8" w:rsidRPr="008017BB">
        <w:rPr>
          <w:rFonts w:cstheme="minorHAnsi"/>
        </w:rPr>
        <w:t xml:space="preserve">Uhuru Kenyatta, acknowledged </w:t>
      </w:r>
      <w:r>
        <w:rPr>
          <w:rFonts w:cstheme="minorHAnsi"/>
        </w:rPr>
        <w:t>in Kenya’s parliament t</w:t>
      </w:r>
      <w:r w:rsidR="00622CF8" w:rsidRPr="008017BB">
        <w:rPr>
          <w:rFonts w:cstheme="minorHAnsi"/>
        </w:rPr>
        <w:t xml:space="preserve">he </w:t>
      </w:r>
      <w:r w:rsidR="00622CF8" w:rsidRPr="00E87E8D">
        <w:rPr>
          <w:rFonts w:cstheme="minorHAnsi"/>
        </w:rPr>
        <w:t xml:space="preserve">existence </w:t>
      </w:r>
      <w:r w:rsidR="00622CF8" w:rsidRPr="008017BB">
        <w:rPr>
          <w:rFonts w:cstheme="minorHAnsi"/>
        </w:rPr>
        <w:t>of post-electi</w:t>
      </w:r>
      <w:r>
        <w:rPr>
          <w:rFonts w:cstheme="minorHAnsi"/>
        </w:rPr>
        <w:t>on victims</w:t>
      </w:r>
      <w:r w:rsidR="00622CF8" w:rsidRPr="008017BB">
        <w:rPr>
          <w:rFonts w:cstheme="minorHAnsi"/>
        </w:rPr>
        <w:t xml:space="preserve">. He apologized to the victims and announced the setting up of a </w:t>
      </w:r>
      <w:r w:rsidR="00E87E8D">
        <w:rPr>
          <w:rFonts w:cstheme="minorHAnsi"/>
        </w:rPr>
        <w:t>KSH</w:t>
      </w:r>
      <w:r>
        <w:rPr>
          <w:rFonts w:cstheme="minorHAnsi"/>
        </w:rPr>
        <w:t xml:space="preserve"> 10 billion reparations fund</w:t>
      </w:r>
      <w:r w:rsidR="00622CF8" w:rsidRPr="008017BB">
        <w:rPr>
          <w:rFonts w:cstheme="minorHAnsi"/>
        </w:rPr>
        <w:t xml:space="preserve"> (</w:t>
      </w:r>
      <w:r w:rsidR="00E87E8D">
        <w:rPr>
          <w:rFonts w:cstheme="minorHAnsi"/>
        </w:rPr>
        <w:t>approximately USD 100</w:t>
      </w:r>
      <w:r w:rsidR="00622CF8" w:rsidRPr="008017BB">
        <w:rPr>
          <w:rFonts w:cstheme="minorHAnsi"/>
        </w:rPr>
        <w:t xml:space="preserve"> million) for victims of grave crimes. Although the exact nature of this fund or the victims’ groups meant </w:t>
      </w:r>
      <w:r w:rsidR="0001573A" w:rsidRPr="008017BB">
        <w:rPr>
          <w:rFonts w:cstheme="minorHAnsi"/>
        </w:rPr>
        <w:t>to benefit from it, or scope and so on</w:t>
      </w:r>
      <w:r w:rsidR="00622CF8" w:rsidRPr="008017BB">
        <w:rPr>
          <w:rFonts w:cstheme="minorHAnsi"/>
        </w:rPr>
        <w:t xml:space="preserve">, remain unclear, OSIEA partners, under the banner of </w:t>
      </w:r>
      <w:r>
        <w:rPr>
          <w:rFonts w:cstheme="minorHAnsi"/>
        </w:rPr>
        <w:t xml:space="preserve">the </w:t>
      </w:r>
      <w:r w:rsidR="00622CF8" w:rsidRPr="001B2239">
        <w:rPr>
          <w:rFonts w:cstheme="minorHAnsi"/>
        </w:rPr>
        <w:t>Kenya Transitional Justice Network (KTJN) mobilized to engage the then Cabinet Secretary for Devolution and Pl</w:t>
      </w:r>
      <w:r w:rsidR="000D407D" w:rsidRPr="001B2239">
        <w:rPr>
          <w:rFonts w:cstheme="minorHAnsi"/>
        </w:rPr>
        <w:t xml:space="preserve">anning </w:t>
      </w:r>
      <w:r w:rsidR="00622CF8" w:rsidRPr="001B2239">
        <w:rPr>
          <w:rFonts w:cstheme="minorHAnsi"/>
        </w:rPr>
        <w:t xml:space="preserve">on the reparations fund. </w:t>
      </w:r>
    </w:p>
    <w:p w:rsidR="00E87E8D" w:rsidRDefault="00E87E8D" w:rsidP="00C210CA">
      <w:pPr>
        <w:spacing w:line="240" w:lineRule="auto"/>
        <w:rPr>
          <w:rStyle w:val="IntenseEmphasis"/>
          <w:rFonts w:cstheme="minorHAnsi"/>
          <w:lang w:eastAsia="ja-JP"/>
        </w:rPr>
      </w:pPr>
      <w:r>
        <w:rPr>
          <w:rStyle w:val="IntenseEmphasis"/>
          <w:rFonts w:cstheme="minorHAnsi"/>
          <w:lang w:eastAsia="ja-JP"/>
        </w:rPr>
        <w:br w:type="page"/>
      </w:r>
    </w:p>
    <w:p w:rsidR="00E87E8D" w:rsidRDefault="00E87E8D" w:rsidP="00C210CA">
      <w:pPr>
        <w:spacing w:line="240" w:lineRule="auto"/>
        <w:jc w:val="both"/>
        <w:rPr>
          <w:rStyle w:val="IntenseEmphasis"/>
          <w:rFonts w:cstheme="minorHAnsi"/>
          <w:lang w:eastAsia="ja-JP"/>
        </w:rPr>
      </w:pPr>
      <w:r>
        <w:rPr>
          <w:rStyle w:val="IntenseEmphasis"/>
          <w:rFonts w:cstheme="minorHAnsi"/>
          <w:lang w:eastAsia="ja-JP"/>
        </w:rPr>
        <w:lastRenderedPageBreak/>
        <w:t>SUDAN</w:t>
      </w:r>
    </w:p>
    <w:p w:rsidR="007203A0" w:rsidRPr="008017BB" w:rsidRDefault="00D60D7F" w:rsidP="00C210CA">
      <w:pPr>
        <w:spacing w:line="240" w:lineRule="auto"/>
        <w:jc w:val="both"/>
        <w:rPr>
          <w:rStyle w:val="IntenseEmphasis"/>
          <w:rFonts w:cstheme="minorHAnsi"/>
          <w:lang w:eastAsia="ja-JP"/>
        </w:rPr>
      </w:pPr>
      <w:r>
        <w:rPr>
          <w:rStyle w:val="IntenseEmphasis"/>
          <w:rFonts w:cstheme="minorHAnsi"/>
        </w:rPr>
        <w:pict>
          <v:rect id="_x0000_i1026" style="width:0;height:1.5pt" o:hralign="center" o:hrstd="t" o:hr="t" fillcolor="#a0a0a0" stroked="f"/>
        </w:pict>
      </w:r>
    </w:p>
    <w:p w:rsidR="00433C2E" w:rsidRDefault="007203A0" w:rsidP="00C210CA">
      <w:pPr>
        <w:tabs>
          <w:tab w:val="left" w:pos="9045"/>
          <w:tab w:val="right" w:pos="9072"/>
        </w:tabs>
        <w:autoSpaceDE w:val="0"/>
        <w:autoSpaceDN w:val="0"/>
        <w:adjustRightInd w:val="0"/>
        <w:spacing w:line="240" w:lineRule="auto"/>
        <w:jc w:val="both"/>
        <w:rPr>
          <w:rFonts w:cstheme="minorHAnsi"/>
          <w:b/>
          <w:lang w:eastAsia="nl-NL"/>
        </w:rPr>
      </w:pPr>
      <w:r w:rsidRPr="008017BB">
        <w:rPr>
          <w:rFonts w:cstheme="minorHAnsi"/>
          <w:b/>
          <w:lang w:eastAsia="nl-NL"/>
        </w:rPr>
        <w:t>Goal 1:  Civil society develops a shared agenda o</w:t>
      </w:r>
      <w:r w:rsidR="00433C2E">
        <w:rPr>
          <w:rFonts w:cstheme="minorHAnsi"/>
          <w:b/>
          <w:lang w:eastAsia="nl-NL"/>
        </w:rPr>
        <w:t>n how Sudan should be governed.</w:t>
      </w:r>
    </w:p>
    <w:p w:rsidR="007203A0" w:rsidRPr="00433C2E" w:rsidRDefault="00CA2FF0" w:rsidP="00C210CA">
      <w:pPr>
        <w:tabs>
          <w:tab w:val="left" w:pos="9045"/>
          <w:tab w:val="right" w:pos="9072"/>
        </w:tabs>
        <w:autoSpaceDE w:val="0"/>
        <w:autoSpaceDN w:val="0"/>
        <w:adjustRightInd w:val="0"/>
        <w:spacing w:line="240" w:lineRule="auto"/>
        <w:jc w:val="both"/>
        <w:rPr>
          <w:rFonts w:cstheme="minorHAnsi"/>
          <w:b/>
          <w:lang w:eastAsia="nl-NL"/>
        </w:rPr>
      </w:pPr>
      <w:r>
        <w:rPr>
          <w:rFonts w:cstheme="minorHAnsi"/>
        </w:rPr>
        <w:t>The program</w:t>
      </w:r>
      <w:r w:rsidR="007203A0" w:rsidRPr="008017BB">
        <w:rPr>
          <w:rFonts w:cstheme="minorHAnsi"/>
        </w:rPr>
        <w:t xml:space="preserve"> supported a new civil society coalition</w:t>
      </w:r>
      <w:r w:rsidR="008A7516">
        <w:rPr>
          <w:rFonts w:cstheme="minorHAnsi"/>
        </w:rPr>
        <w:t xml:space="preserve"> to </w:t>
      </w:r>
      <w:r w:rsidR="007203A0" w:rsidRPr="008017BB">
        <w:rPr>
          <w:rFonts w:cstheme="minorHAnsi"/>
        </w:rPr>
        <w:t xml:space="preserve">develop a plausible detailed strategic plan and practical modalities for ending current conflicts and undertaking a process of democratic transformation, but progress was patchy and slow. </w:t>
      </w:r>
      <w:r w:rsidR="00B72FD1" w:rsidRPr="008017BB">
        <w:rPr>
          <w:rFonts w:cstheme="minorHAnsi"/>
        </w:rPr>
        <w:t xml:space="preserve">It has not been able to transcend many of the divisions within civil society and may have exacerbated some of them. </w:t>
      </w:r>
      <w:r w:rsidR="007203A0" w:rsidRPr="008017BB">
        <w:rPr>
          <w:rFonts w:cstheme="minorHAnsi"/>
        </w:rPr>
        <w:t xml:space="preserve">On the positive side, the coalition undertook extensive outreach to civil society beyond the capital. It also started to develop alternative policies for adoption in the event of transition. </w:t>
      </w:r>
      <w:r w:rsidR="008A7516">
        <w:rPr>
          <w:rFonts w:cstheme="minorHAnsi"/>
        </w:rPr>
        <w:t xml:space="preserve"> </w:t>
      </w:r>
    </w:p>
    <w:p w:rsidR="007203A0" w:rsidRPr="008017BB" w:rsidRDefault="008548DD" w:rsidP="00C210CA">
      <w:pPr>
        <w:spacing w:line="240" w:lineRule="auto"/>
        <w:jc w:val="both"/>
        <w:rPr>
          <w:rStyle w:val="apple-converted-space"/>
          <w:rFonts w:cstheme="minorHAnsi"/>
          <w:shd w:val="clear" w:color="auto" w:fill="FFFFFF"/>
        </w:rPr>
      </w:pPr>
      <w:r>
        <w:rPr>
          <w:rFonts w:cstheme="minorHAnsi"/>
        </w:rPr>
        <w:t xml:space="preserve">OSIEA </w:t>
      </w:r>
      <w:r w:rsidR="007203A0" w:rsidRPr="008017BB">
        <w:rPr>
          <w:rFonts w:cstheme="minorHAnsi"/>
        </w:rPr>
        <w:t xml:space="preserve">grantees were </w:t>
      </w:r>
      <w:proofErr w:type="gramStart"/>
      <w:r w:rsidR="007203A0" w:rsidRPr="008017BB">
        <w:rPr>
          <w:rFonts w:cstheme="minorHAnsi"/>
        </w:rPr>
        <w:t>key</w:t>
      </w:r>
      <w:proofErr w:type="gramEnd"/>
      <w:r w:rsidR="007203A0" w:rsidRPr="008017BB">
        <w:rPr>
          <w:rFonts w:cstheme="minorHAnsi"/>
        </w:rPr>
        <w:t xml:space="preserve"> to denying the government the international legitimacy which it craved</w:t>
      </w:r>
      <w:r w:rsidR="00433C2E">
        <w:rPr>
          <w:rFonts w:cstheme="minorHAnsi"/>
        </w:rPr>
        <w:t>,</w:t>
      </w:r>
      <w:r w:rsidR="007203A0" w:rsidRPr="008017BB">
        <w:rPr>
          <w:rFonts w:cstheme="minorHAnsi"/>
        </w:rPr>
        <w:t xml:space="preserve"> for </w:t>
      </w:r>
      <w:r w:rsidR="00B72FD1" w:rsidRPr="008017BB">
        <w:rPr>
          <w:rFonts w:cstheme="minorHAnsi"/>
        </w:rPr>
        <w:t xml:space="preserve">having won </w:t>
      </w:r>
      <w:r w:rsidR="007203A0" w:rsidRPr="008017BB">
        <w:rPr>
          <w:rFonts w:cstheme="minorHAnsi"/>
        </w:rPr>
        <w:t xml:space="preserve">the April </w:t>
      </w:r>
      <w:r w:rsidR="00B72FD1" w:rsidRPr="008017BB">
        <w:rPr>
          <w:rFonts w:cstheme="minorHAnsi"/>
        </w:rPr>
        <w:t xml:space="preserve">2015 </w:t>
      </w:r>
      <w:r w:rsidR="007203A0" w:rsidRPr="008017BB">
        <w:rPr>
          <w:rFonts w:cstheme="minorHAnsi"/>
        </w:rPr>
        <w:t>elections. The groups persu</w:t>
      </w:r>
      <w:r w:rsidR="005E2106">
        <w:rPr>
          <w:rFonts w:cstheme="minorHAnsi"/>
        </w:rPr>
        <w:t xml:space="preserve">aded the </w:t>
      </w:r>
      <w:r w:rsidR="00433C2E">
        <w:rPr>
          <w:rFonts w:cstheme="minorHAnsi"/>
        </w:rPr>
        <w:t>United Nations (</w:t>
      </w:r>
      <w:r w:rsidR="005E2106">
        <w:rPr>
          <w:rFonts w:cstheme="minorHAnsi"/>
        </w:rPr>
        <w:t>UN</w:t>
      </w:r>
      <w:r w:rsidR="00433C2E">
        <w:rPr>
          <w:rFonts w:cstheme="minorHAnsi"/>
        </w:rPr>
        <w:t>)</w:t>
      </w:r>
      <w:r w:rsidR="005E2106">
        <w:rPr>
          <w:rFonts w:cstheme="minorHAnsi"/>
        </w:rPr>
        <w:t>, the European Union</w:t>
      </w:r>
      <w:r w:rsidR="00433C2E">
        <w:rPr>
          <w:rFonts w:cstheme="minorHAnsi"/>
        </w:rPr>
        <w:t xml:space="preserve"> (EU)</w:t>
      </w:r>
      <w:r w:rsidR="007203A0" w:rsidRPr="008017BB">
        <w:rPr>
          <w:rFonts w:cstheme="minorHAnsi"/>
        </w:rPr>
        <w:t xml:space="preserve"> and the Carter Centre not to send election missions and confer a veneer of legitimacy on a process </w:t>
      </w:r>
      <w:r w:rsidR="00B72FD1" w:rsidRPr="008017BB">
        <w:rPr>
          <w:rFonts w:cstheme="minorHAnsi"/>
        </w:rPr>
        <w:t>that</w:t>
      </w:r>
      <w:r w:rsidR="007203A0" w:rsidRPr="008017BB">
        <w:rPr>
          <w:rFonts w:cstheme="minorHAnsi"/>
        </w:rPr>
        <w:t xml:space="preserve"> was fundamentally flawed given the persistence of conflict and severe restrictions on political freedoms. Even the African Union’s (AU’s) pre-election assessment team advised the AU not to send observers to Sudan. The AU monitors only deployed after the Sudanese government pressured the Peace and Se</w:t>
      </w:r>
      <w:r w:rsidR="005E2106">
        <w:rPr>
          <w:rFonts w:cstheme="minorHAnsi"/>
        </w:rPr>
        <w:t xml:space="preserve">curity Council to intervene; </w:t>
      </w:r>
      <w:r w:rsidR="007203A0" w:rsidRPr="008017BB">
        <w:rPr>
          <w:rFonts w:cstheme="minorHAnsi"/>
        </w:rPr>
        <w:t xml:space="preserve">the </w:t>
      </w:r>
      <w:r w:rsidR="00B72FD1" w:rsidRPr="008017BB">
        <w:rPr>
          <w:rFonts w:cstheme="minorHAnsi"/>
        </w:rPr>
        <w:t xml:space="preserve">subsequent </w:t>
      </w:r>
      <w:r w:rsidR="007203A0" w:rsidRPr="008017BB">
        <w:rPr>
          <w:rFonts w:cstheme="minorHAnsi"/>
        </w:rPr>
        <w:t>AU observation mission’s report was critical</w:t>
      </w:r>
      <w:r w:rsidR="005E2106">
        <w:rPr>
          <w:rFonts w:cstheme="minorHAnsi"/>
        </w:rPr>
        <w:t xml:space="preserve"> of the elections</w:t>
      </w:r>
      <w:r w:rsidR="007203A0" w:rsidRPr="008017BB">
        <w:rPr>
          <w:rFonts w:cstheme="minorHAnsi"/>
        </w:rPr>
        <w:t>. Further, the Troika, which consists of Norway</w:t>
      </w:r>
      <w:r w:rsidR="005E2106">
        <w:rPr>
          <w:rFonts w:cstheme="minorHAnsi"/>
        </w:rPr>
        <w:t>, the UK</w:t>
      </w:r>
      <w:r w:rsidR="00433C2E">
        <w:rPr>
          <w:rFonts w:cstheme="minorHAnsi"/>
        </w:rPr>
        <w:t xml:space="preserve">, </w:t>
      </w:r>
      <w:r w:rsidR="005E2106">
        <w:rPr>
          <w:rFonts w:cstheme="minorHAnsi"/>
        </w:rPr>
        <w:t>the US, and the EU</w:t>
      </w:r>
      <w:r w:rsidR="007203A0" w:rsidRPr="008017BB">
        <w:rPr>
          <w:rFonts w:cstheme="minorHAnsi"/>
        </w:rPr>
        <w:t xml:space="preserve"> issued strong statements </w:t>
      </w:r>
      <w:r w:rsidR="007203A0" w:rsidRPr="008017BB">
        <w:rPr>
          <w:rFonts w:cstheme="minorHAnsi"/>
          <w:color w:val="0B0C0C"/>
          <w:shd w:val="clear" w:color="auto" w:fill="FFFFFF"/>
        </w:rPr>
        <w:t xml:space="preserve">stating that the elections could not be considered a credible expression of the will of the Sudanese people. With the opening of the national dialogue, </w:t>
      </w:r>
      <w:r w:rsidR="007203A0" w:rsidRPr="008017BB">
        <w:rPr>
          <w:rFonts w:cstheme="minorHAnsi"/>
          <w:lang w:eastAsia="nl-NL"/>
        </w:rPr>
        <w:t xml:space="preserve">several partners continue to put significant effort into convincing the international community and the Sudanese people that </w:t>
      </w:r>
      <w:r w:rsidR="00AF558B" w:rsidRPr="008017BB">
        <w:rPr>
          <w:rFonts w:cstheme="minorHAnsi"/>
          <w:lang w:eastAsia="nl-NL"/>
        </w:rPr>
        <w:t xml:space="preserve">they </w:t>
      </w:r>
      <w:r w:rsidR="007203A0" w:rsidRPr="008017BB">
        <w:rPr>
          <w:rFonts w:cstheme="minorHAnsi"/>
          <w:lang w:eastAsia="nl-NL"/>
        </w:rPr>
        <w:t xml:space="preserve">should not support this flawed process while holding up a vision of what a genuine national dialogue should look like. </w:t>
      </w:r>
    </w:p>
    <w:p w:rsidR="007203A0" w:rsidRPr="008017BB" w:rsidRDefault="007203A0" w:rsidP="00C210CA">
      <w:pPr>
        <w:spacing w:line="240" w:lineRule="auto"/>
        <w:jc w:val="both"/>
        <w:rPr>
          <w:rFonts w:cstheme="minorHAnsi"/>
        </w:rPr>
      </w:pPr>
      <w:r w:rsidRPr="008017BB">
        <w:rPr>
          <w:rStyle w:val="apple-converted-space"/>
          <w:rFonts w:cstheme="minorHAnsi"/>
          <w:shd w:val="clear" w:color="auto" w:fill="FFFFFF"/>
        </w:rPr>
        <w:t xml:space="preserve">Beyond elite level discussions, OSIEA continued to support the Project on Islamic Reform and Democratic Thought which has expanded its network of groups reading and debating publications on </w:t>
      </w:r>
      <w:r w:rsidRPr="008017BB">
        <w:rPr>
          <w:rFonts w:cstheme="minorHAnsi"/>
          <w:bCs/>
        </w:rPr>
        <w:t>identity, religion, democracy and human rights from 114 to nearly 300; 38 books have been published and near</w:t>
      </w:r>
      <w:r w:rsidR="005E2106">
        <w:rPr>
          <w:rFonts w:cstheme="minorHAnsi"/>
          <w:bCs/>
        </w:rPr>
        <w:t>ly</w:t>
      </w:r>
      <w:r w:rsidRPr="008017BB">
        <w:rPr>
          <w:rFonts w:cstheme="minorHAnsi"/>
          <w:bCs/>
        </w:rPr>
        <w:t xml:space="preserve"> 1,500 sessions have been held. </w:t>
      </w:r>
      <w:r w:rsidRPr="008017BB">
        <w:rPr>
          <w:rFonts w:cstheme="minorHAnsi"/>
        </w:rPr>
        <w:t xml:space="preserve">The main challenge is for the project to attract more women readers. The future of the journal, </w:t>
      </w:r>
      <w:r w:rsidRPr="008017BB">
        <w:rPr>
          <w:rStyle w:val="apple-converted-space"/>
          <w:rFonts w:cstheme="minorHAnsi"/>
          <w:shd w:val="clear" w:color="auto" w:fill="FFFFFF"/>
        </w:rPr>
        <w:t xml:space="preserve">Women in Islam, </w:t>
      </w:r>
      <w:r w:rsidRPr="008017BB">
        <w:rPr>
          <w:rFonts w:cstheme="minorHAnsi"/>
        </w:rPr>
        <w:t xml:space="preserve">which </w:t>
      </w:r>
      <w:r w:rsidR="00CA2FF0">
        <w:rPr>
          <w:rFonts w:cstheme="minorHAnsi"/>
        </w:rPr>
        <w:t xml:space="preserve">OSIEA </w:t>
      </w:r>
      <w:r w:rsidRPr="008017BB">
        <w:rPr>
          <w:rFonts w:cstheme="minorHAnsi"/>
        </w:rPr>
        <w:t>initially supported and which provides a rare space for discussion of progressive interpretations of Islam, seems secure as it has been able to secu</w:t>
      </w:r>
      <w:r w:rsidR="00CA2FF0">
        <w:rPr>
          <w:rFonts w:cstheme="minorHAnsi"/>
        </w:rPr>
        <w:t>re funding from other donors.  OSIEA</w:t>
      </w:r>
      <w:r w:rsidRPr="008017BB">
        <w:rPr>
          <w:rFonts w:cstheme="minorHAnsi"/>
        </w:rPr>
        <w:t xml:space="preserve"> also documented and disseminated experience</w:t>
      </w:r>
      <w:r w:rsidR="00433C2E">
        <w:rPr>
          <w:rFonts w:cstheme="minorHAnsi"/>
        </w:rPr>
        <w:t>s</w:t>
      </w:r>
      <w:r w:rsidRPr="008017BB">
        <w:rPr>
          <w:rFonts w:cstheme="minorHAnsi"/>
        </w:rPr>
        <w:t xml:space="preserve"> of youth activists in using new media for advocacy by publishing </w:t>
      </w:r>
      <w:r w:rsidR="0032690D">
        <w:rPr>
          <w:rFonts w:cstheme="minorHAnsi"/>
        </w:rPr>
        <w:t>‘</w:t>
      </w:r>
      <w:proofErr w:type="spellStart"/>
      <w:r w:rsidRPr="0032690D">
        <w:rPr>
          <w:rFonts w:cstheme="minorHAnsi"/>
        </w:rPr>
        <w:t>Sawtna</w:t>
      </w:r>
      <w:proofErr w:type="spellEnd"/>
      <w:r w:rsidR="0032690D">
        <w:rPr>
          <w:rFonts w:cstheme="minorHAnsi"/>
          <w:i/>
        </w:rPr>
        <w:t>’</w:t>
      </w:r>
      <w:r w:rsidRPr="008017BB">
        <w:rPr>
          <w:rFonts w:cstheme="minorHAnsi"/>
          <w:i/>
        </w:rPr>
        <w:t xml:space="preserve">. </w:t>
      </w:r>
      <w:r w:rsidRPr="008017BB">
        <w:rPr>
          <w:rFonts w:cstheme="minorHAnsi"/>
        </w:rPr>
        <w:t xml:space="preserve">The posts announcing the launch of the guidebook were </w:t>
      </w:r>
      <w:r w:rsidRPr="008017BB">
        <w:rPr>
          <w:rFonts w:cstheme="minorHAnsi"/>
          <w:bCs/>
        </w:rPr>
        <w:t>shared 34 times reaching 4,502 people; printed copies are being distributed.</w:t>
      </w:r>
    </w:p>
    <w:p w:rsidR="007203A0" w:rsidRPr="008017BB" w:rsidRDefault="007203A0" w:rsidP="00C210CA">
      <w:pPr>
        <w:tabs>
          <w:tab w:val="left" w:pos="1815"/>
        </w:tabs>
        <w:spacing w:line="240" w:lineRule="auto"/>
        <w:jc w:val="both"/>
        <w:rPr>
          <w:rFonts w:cstheme="minorHAnsi"/>
          <w:b/>
        </w:rPr>
      </w:pPr>
      <w:r w:rsidRPr="008017BB">
        <w:rPr>
          <w:rFonts w:cstheme="minorHAnsi"/>
          <w:b/>
        </w:rPr>
        <w:t>Goal 2: Sudanese citizens increase access to information about governance issues, in particular gross human rights violations, corruption and constitutional developments</w:t>
      </w:r>
      <w:r w:rsidR="008E2598">
        <w:rPr>
          <w:rFonts w:cstheme="minorHAnsi"/>
          <w:b/>
        </w:rPr>
        <w:t>.</w:t>
      </w:r>
    </w:p>
    <w:p w:rsidR="007203A0" w:rsidRPr="008017BB" w:rsidRDefault="007203A0" w:rsidP="00C210CA">
      <w:pPr>
        <w:spacing w:line="240" w:lineRule="auto"/>
        <w:jc w:val="both"/>
        <w:rPr>
          <w:rFonts w:cstheme="minorHAnsi"/>
          <w:lang w:eastAsia="nl-NL"/>
        </w:rPr>
      </w:pPr>
      <w:r w:rsidRPr="008017BB">
        <w:rPr>
          <w:rFonts w:cstheme="minorHAnsi"/>
        </w:rPr>
        <w:t>Due to severe censorship</w:t>
      </w:r>
      <w:r w:rsidR="008E2598">
        <w:rPr>
          <w:rFonts w:cstheme="minorHAnsi"/>
        </w:rPr>
        <w:t xml:space="preserve"> in the country</w:t>
      </w:r>
      <w:r w:rsidRPr="008017BB">
        <w:rPr>
          <w:rFonts w:cstheme="minorHAnsi"/>
        </w:rPr>
        <w:t xml:space="preserve">, news produced by the online platform which </w:t>
      </w:r>
      <w:r w:rsidR="00E37677">
        <w:rPr>
          <w:rFonts w:cstheme="minorHAnsi"/>
        </w:rPr>
        <w:t>OSIEA supports,</w:t>
      </w:r>
      <w:r w:rsidRPr="008017BB">
        <w:rPr>
          <w:rFonts w:cstheme="minorHAnsi"/>
        </w:rPr>
        <w:t xml:space="preserve"> </w:t>
      </w:r>
      <w:proofErr w:type="spellStart"/>
      <w:r w:rsidRPr="008017BB">
        <w:rPr>
          <w:rFonts w:cstheme="minorHAnsi"/>
        </w:rPr>
        <w:t>Hurriyat</w:t>
      </w:r>
      <w:proofErr w:type="spellEnd"/>
      <w:r w:rsidRPr="008017BB">
        <w:rPr>
          <w:rFonts w:cstheme="minorHAnsi"/>
        </w:rPr>
        <w:t xml:space="preserve"> Sudan, remains important. It </w:t>
      </w:r>
      <w:r w:rsidR="00076FE5" w:rsidRPr="008017BB">
        <w:rPr>
          <w:rFonts w:cstheme="minorHAnsi"/>
        </w:rPr>
        <w:t xml:space="preserve">was </w:t>
      </w:r>
      <w:r w:rsidRPr="008017BB">
        <w:rPr>
          <w:rFonts w:cstheme="minorHAnsi"/>
        </w:rPr>
        <w:t>disappointing that Sudan Tribune, an impor</w:t>
      </w:r>
      <w:r w:rsidR="005E2106">
        <w:rPr>
          <w:rFonts w:cstheme="minorHAnsi"/>
        </w:rPr>
        <w:t xml:space="preserve">tant source of news for Sudan, </w:t>
      </w:r>
      <w:r w:rsidRPr="008017BB">
        <w:rPr>
          <w:rFonts w:cstheme="minorHAnsi"/>
        </w:rPr>
        <w:t xml:space="preserve">did not receive funds in 2015 because it did not meet its reporting requirements. Hurriyat remains completely dependent on OSIEA for funding. Even though it has lost its edge as an innovator with the emergence of other online Arabic-language news platforms, it still has a significant audience. It increased the membership of its Facebook group by 16 percent in 2015 from 32,000 to 36,962. </w:t>
      </w:r>
    </w:p>
    <w:p w:rsidR="007203A0" w:rsidRPr="008017BB" w:rsidRDefault="007203A0" w:rsidP="00C210CA">
      <w:pPr>
        <w:spacing w:line="240" w:lineRule="auto"/>
        <w:jc w:val="both"/>
        <w:rPr>
          <w:rFonts w:cstheme="minorHAnsi"/>
          <w:b/>
        </w:rPr>
      </w:pPr>
      <w:r w:rsidRPr="008017BB">
        <w:rPr>
          <w:rFonts w:cstheme="minorHAnsi"/>
          <w:b/>
        </w:rPr>
        <w:t>Goal 3: Civil society organizations and activists are able to associate freely and operate securely</w:t>
      </w:r>
      <w:r w:rsidR="008E2598">
        <w:rPr>
          <w:rFonts w:cstheme="minorHAnsi"/>
          <w:b/>
        </w:rPr>
        <w:t>.</w:t>
      </w:r>
    </w:p>
    <w:p w:rsidR="007203A0" w:rsidRPr="008017BB" w:rsidRDefault="007203A0" w:rsidP="00C210CA">
      <w:pPr>
        <w:widowControl w:val="0"/>
        <w:autoSpaceDE w:val="0"/>
        <w:autoSpaceDN w:val="0"/>
        <w:adjustRightInd w:val="0"/>
        <w:spacing w:line="240" w:lineRule="auto"/>
        <w:jc w:val="both"/>
        <w:rPr>
          <w:rFonts w:cstheme="minorHAnsi"/>
        </w:rPr>
      </w:pPr>
      <w:r w:rsidRPr="008017BB">
        <w:rPr>
          <w:rFonts w:cstheme="minorHAnsi"/>
        </w:rPr>
        <w:t xml:space="preserve">Ironically the government increased pressure on civil society in the run-up to the 2015 elections. </w:t>
      </w:r>
      <w:r w:rsidR="00E37677">
        <w:rPr>
          <w:rFonts w:cstheme="minorHAnsi"/>
        </w:rPr>
        <w:t xml:space="preserve">OSIEA </w:t>
      </w:r>
      <w:r w:rsidRPr="008017BB">
        <w:rPr>
          <w:rFonts w:cstheme="minorHAnsi"/>
        </w:rPr>
        <w:t xml:space="preserve">therefore continued to conduct advocacy to ensure the international community engaged vigorously on this issue. The Sudanese Writers Union (SWU), </w:t>
      </w:r>
      <w:r w:rsidR="00E37677">
        <w:rPr>
          <w:rFonts w:cstheme="minorHAnsi"/>
        </w:rPr>
        <w:t xml:space="preserve">a </w:t>
      </w:r>
      <w:r w:rsidRPr="008017BB">
        <w:rPr>
          <w:rFonts w:cstheme="minorHAnsi"/>
        </w:rPr>
        <w:t xml:space="preserve">grantee, was banned and three other grantees were subjected to severe harassment by </w:t>
      </w:r>
      <w:r w:rsidR="008E2598">
        <w:rPr>
          <w:rFonts w:cstheme="minorHAnsi"/>
        </w:rPr>
        <w:t xml:space="preserve">the </w:t>
      </w:r>
      <w:r w:rsidR="008E2598" w:rsidRPr="008E2598">
        <w:rPr>
          <w:rFonts w:cstheme="minorHAnsi"/>
        </w:rPr>
        <w:t xml:space="preserve">National Intelligence and Security Service </w:t>
      </w:r>
      <w:r w:rsidR="008E2598">
        <w:rPr>
          <w:rFonts w:cstheme="minorHAnsi"/>
        </w:rPr>
        <w:t>(</w:t>
      </w:r>
      <w:r w:rsidRPr="008017BB">
        <w:rPr>
          <w:rFonts w:cstheme="minorHAnsi"/>
        </w:rPr>
        <w:t>NISS</w:t>
      </w:r>
      <w:r w:rsidR="008E2598">
        <w:rPr>
          <w:rFonts w:cstheme="minorHAnsi"/>
        </w:rPr>
        <w:t>)</w:t>
      </w:r>
      <w:r w:rsidRPr="008017BB">
        <w:rPr>
          <w:rFonts w:cstheme="minorHAnsi"/>
        </w:rPr>
        <w:t xml:space="preserve">. SWU is fighting </w:t>
      </w:r>
      <w:r w:rsidRPr="008017BB">
        <w:rPr>
          <w:rFonts w:cstheme="minorHAnsi"/>
        </w:rPr>
        <w:lastRenderedPageBreak/>
        <w:t>the case in court. The Confederation of Sudanese Ci</w:t>
      </w:r>
      <w:r w:rsidR="008E2598">
        <w:rPr>
          <w:rFonts w:cstheme="minorHAnsi"/>
        </w:rPr>
        <w:t>vil Society Organizations (CSCS</w:t>
      </w:r>
      <w:r w:rsidRPr="008017BB">
        <w:rPr>
          <w:rFonts w:cstheme="minorHAnsi"/>
        </w:rPr>
        <w:t>O) has become</w:t>
      </w:r>
      <w:r w:rsidR="008E2598">
        <w:rPr>
          <w:rFonts w:cstheme="minorHAnsi"/>
        </w:rPr>
        <w:t xml:space="preserve"> more active; it now issues six-</w:t>
      </w:r>
      <w:r w:rsidRPr="008017BB">
        <w:rPr>
          <w:rFonts w:cstheme="minorHAnsi"/>
        </w:rPr>
        <w:t xml:space="preserve">monthly reports on trends affecting civil society, a useful advocacy tool. It has also started engaging with government authorities regarding its concerns. Continued internal tensions means that it is slow to achieve consensus but the fact that it has held together and is doing more work is significant. In the second half of the year, no local organizations were banned but many groups were subjected to more subtle repression as their licenses were not renewed. </w:t>
      </w:r>
    </w:p>
    <w:p w:rsidR="007203A0" w:rsidRPr="008E2598" w:rsidRDefault="007203A0" w:rsidP="00C210CA">
      <w:pPr>
        <w:widowControl w:val="0"/>
        <w:autoSpaceDE w:val="0"/>
        <w:autoSpaceDN w:val="0"/>
        <w:adjustRightInd w:val="0"/>
        <w:spacing w:line="240" w:lineRule="auto"/>
        <w:jc w:val="both"/>
        <w:rPr>
          <w:rFonts w:cstheme="minorHAnsi"/>
        </w:rPr>
      </w:pPr>
      <w:r w:rsidRPr="008E2598">
        <w:rPr>
          <w:rFonts w:cstheme="minorHAnsi"/>
        </w:rPr>
        <w:t xml:space="preserve">Tensions between human rights defenders continued to impede emergence of a strong protection network, so </w:t>
      </w:r>
      <w:r w:rsidR="003B570D">
        <w:rPr>
          <w:rFonts w:cstheme="minorHAnsi"/>
        </w:rPr>
        <w:t xml:space="preserve">OSIEA </w:t>
      </w:r>
      <w:r w:rsidRPr="008E2598">
        <w:rPr>
          <w:rFonts w:cstheme="minorHAnsi"/>
        </w:rPr>
        <w:t>continued the strategy of supporting local services for activists’ by supporting an NGO providing psychosocial and medical support to political detainees, including human rights defenders. After two years, it has managed to broaden its outreach and expand its donor base.</w:t>
      </w:r>
    </w:p>
    <w:p w:rsidR="007203A0" w:rsidRPr="008E2598" w:rsidRDefault="007203A0" w:rsidP="00C210CA">
      <w:pPr>
        <w:widowControl w:val="0"/>
        <w:autoSpaceDE w:val="0"/>
        <w:autoSpaceDN w:val="0"/>
        <w:adjustRightInd w:val="0"/>
        <w:spacing w:line="240" w:lineRule="auto"/>
        <w:jc w:val="both"/>
        <w:rPr>
          <w:rFonts w:cstheme="minorHAnsi"/>
        </w:rPr>
      </w:pPr>
      <w:r w:rsidRPr="008E2598">
        <w:rPr>
          <w:rFonts w:cstheme="minorHAnsi"/>
          <w:lang w:val="en-GB" w:eastAsia="en-GB"/>
        </w:rPr>
        <w:t xml:space="preserve">The African Commission on Human and Peoples’ Rights (ACHPR) upheld in February 2015 a complaint submitted by </w:t>
      </w:r>
      <w:r w:rsidR="008E2598" w:rsidRPr="008E2598">
        <w:rPr>
          <w:rFonts w:cstheme="minorHAnsi"/>
          <w:lang w:val="en-GB" w:eastAsia="en-GB"/>
        </w:rPr>
        <w:t>the African Centre for Justice and Peace Studies (</w:t>
      </w:r>
      <w:r w:rsidRPr="008E2598">
        <w:rPr>
          <w:rFonts w:cstheme="minorHAnsi"/>
          <w:lang w:val="en-GB" w:eastAsia="en-GB"/>
        </w:rPr>
        <w:t>ACJPS</w:t>
      </w:r>
      <w:r w:rsidR="008E2598" w:rsidRPr="008E2598">
        <w:rPr>
          <w:rFonts w:cstheme="minorHAnsi"/>
          <w:lang w:val="en-GB" w:eastAsia="en-GB"/>
        </w:rPr>
        <w:t>)</w:t>
      </w:r>
      <w:r w:rsidRPr="008E2598">
        <w:rPr>
          <w:rFonts w:cstheme="minorHAnsi"/>
          <w:lang w:val="en-GB" w:eastAsia="en-GB"/>
        </w:rPr>
        <w:t xml:space="preserve"> and two other groups accusing the NISS officials of torturing three well-known Sudanese human rights defenders. The ACHPR recognized Sudan’s obligation to protect human rights defenders and to ensure they are able to carry out their work of promoting and protecting the rights of others. The Commission called on Sudan to investigate and prosecute the NISS officials alleged to be responsible for the arbitrary arrest, torture, and ill-treatment of the activists; to reopen and unfreeze the bank accounts of the Khartoum Centre for Human Rights and Environmental Development, which had been shut down in connection with the case; and to pay the defenders compensation. </w:t>
      </w:r>
      <w:r w:rsidRPr="008E2598">
        <w:rPr>
          <w:rFonts w:cstheme="minorHAnsi"/>
        </w:rPr>
        <w:t>The ACHPR was seized of three new cases involving arbitrary detention and torture or ill-treatment of human rights defenders in 2015 by ACJPS.</w:t>
      </w:r>
    </w:p>
    <w:p w:rsidR="007203A0" w:rsidRPr="008017BB" w:rsidRDefault="007203A0" w:rsidP="00C210CA">
      <w:pPr>
        <w:spacing w:line="240" w:lineRule="auto"/>
        <w:jc w:val="both"/>
        <w:rPr>
          <w:rFonts w:cstheme="minorHAnsi"/>
          <w:b/>
        </w:rPr>
      </w:pPr>
      <w:r w:rsidRPr="008017BB">
        <w:rPr>
          <w:rFonts w:cstheme="minorHAnsi"/>
          <w:b/>
        </w:rPr>
        <w:t>Goal 4: Human rights monitors in Sudan’s peripheral areas are able to expose and advocate against gross human rights violations and crimes against humanity in Sudan</w:t>
      </w:r>
      <w:r w:rsidR="000D569B">
        <w:rPr>
          <w:rFonts w:cstheme="minorHAnsi"/>
          <w:b/>
        </w:rPr>
        <w:t>.</w:t>
      </w:r>
    </w:p>
    <w:p w:rsidR="007203A0" w:rsidRPr="008017BB" w:rsidRDefault="007203A0" w:rsidP="00C210CA">
      <w:pPr>
        <w:widowControl w:val="0"/>
        <w:autoSpaceDE w:val="0"/>
        <w:autoSpaceDN w:val="0"/>
        <w:adjustRightInd w:val="0"/>
        <w:spacing w:line="240" w:lineRule="auto"/>
        <w:jc w:val="both"/>
        <w:rPr>
          <w:rFonts w:eastAsia="Times New Roman" w:cstheme="minorHAnsi"/>
        </w:rPr>
      </w:pPr>
      <w:r w:rsidRPr="008017BB">
        <w:rPr>
          <w:rFonts w:cstheme="minorHAnsi"/>
        </w:rPr>
        <w:t xml:space="preserve">OSIEA’s support helped to keep the focus on </w:t>
      </w:r>
      <w:r w:rsidR="00076FE5" w:rsidRPr="008017BB">
        <w:rPr>
          <w:rFonts w:cstheme="minorHAnsi"/>
        </w:rPr>
        <w:t xml:space="preserve">the </w:t>
      </w:r>
      <w:r w:rsidRPr="008017BB">
        <w:rPr>
          <w:rFonts w:cstheme="minorHAnsi"/>
        </w:rPr>
        <w:t xml:space="preserve">commission of atrocities during the conflicts in South Kordofan and Blue Nile, and, to a lesser extent, Darfur. </w:t>
      </w:r>
      <w:r w:rsidR="004A6B5D">
        <w:rPr>
          <w:rFonts w:cstheme="minorHAnsi"/>
        </w:rPr>
        <w:t>The program’s</w:t>
      </w:r>
      <w:r w:rsidRPr="008017BB">
        <w:rPr>
          <w:rFonts w:cstheme="minorHAnsi"/>
        </w:rPr>
        <w:t xml:space="preserve"> biggest effort supported teams of human rights observers in South Kordofan and Blue Nile to strengthen their monitoring capacity. The </w:t>
      </w:r>
      <w:r w:rsidR="00950535" w:rsidRPr="008017BB">
        <w:rPr>
          <w:rFonts w:eastAsia="Calibri" w:cstheme="minorHAnsi"/>
        </w:rPr>
        <w:t>National Human Rights Monitoring Organization (NHRMO)</w:t>
      </w:r>
      <w:r w:rsidR="00950535">
        <w:rPr>
          <w:rFonts w:eastAsia="Calibri" w:cstheme="minorHAnsi"/>
        </w:rPr>
        <w:t xml:space="preserve"> </w:t>
      </w:r>
      <w:r w:rsidRPr="008017BB">
        <w:rPr>
          <w:rFonts w:cstheme="minorHAnsi"/>
        </w:rPr>
        <w:t xml:space="preserve">established in 2014 had its first general assembly and elected its first board in 2015. </w:t>
      </w:r>
      <w:r w:rsidRPr="008017BB">
        <w:rPr>
          <w:rFonts w:eastAsia="Calibri" w:cstheme="minorHAnsi"/>
        </w:rPr>
        <w:t xml:space="preserve">In April, </w:t>
      </w:r>
      <w:r w:rsidR="00950535">
        <w:rPr>
          <w:rFonts w:eastAsia="Calibri" w:cstheme="minorHAnsi"/>
        </w:rPr>
        <w:t xml:space="preserve">it </w:t>
      </w:r>
      <w:r w:rsidRPr="008017BB">
        <w:rPr>
          <w:rFonts w:eastAsia="Calibri" w:cstheme="minorHAnsi"/>
        </w:rPr>
        <w:t>went public for the first time in a joint publication with the International Refugee Rights Initiative</w:t>
      </w:r>
      <w:r w:rsidR="00442A3C">
        <w:rPr>
          <w:rFonts w:eastAsia="Calibri" w:cstheme="minorHAnsi"/>
        </w:rPr>
        <w:t xml:space="preserve"> (IRRI)</w:t>
      </w:r>
      <w:r w:rsidRPr="008017BB">
        <w:rPr>
          <w:rFonts w:eastAsia="Calibri" w:cstheme="minorHAnsi"/>
        </w:rPr>
        <w:t xml:space="preserve"> </w:t>
      </w:r>
      <w:hyperlink r:id="rId10" w:history="1">
        <w:r w:rsidRPr="008017BB">
          <w:rPr>
            <w:rStyle w:val="Internetlink"/>
            <w:rFonts w:eastAsia="Times New Roman" w:cstheme="minorHAnsi"/>
            <w:i/>
            <w:lang w:eastAsia="ar-SA"/>
          </w:rPr>
          <w:t>Don't we matter?: Four years of unrelenting attacks against civilians in Sudan's South Kordofan State</w:t>
        </w:r>
      </w:hyperlink>
      <w:r w:rsidRPr="008017BB">
        <w:rPr>
          <w:rFonts w:eastAsia="Times New Roman" w:cstheme="minorHAnsi"/>
          <w:lang w:eastAsia="ar-SA"/>
        </w:rPr>
        <w:t xml:space="preserve">. </w:t>
      </w:r>
      <w:r w:rsidRPr="008017BB">
        <w:rPr>
          <w:rFonts w:eastAsia="Calibri" w:cstheme="minorHAnsi"/>
        </w:rPr>
        <w:t>NHRMO and the Sudan Consortium jointly published monthly update</w:t>
      </w:r>
      <w:r w:rsidR="00442A3C">
        <w:rPr>
          <w:rFonts w:eastAsia="Calibri" w:cstheme="minorHAnsi"/>
        </w:rPr>
        <w:t>s</w:t>
      </w:r>
      <w:r w:rsidR="00835660">
        <w:rPr>
          <w:rFonts w:eastAsia="Calibri" w:cstheme="minorHAnsi"/>
        </w:rPr>
        <w:t xml:space="preserve"> and together with IRRI </w:t>
      </w:r>
      <w:r w:rsidRPr="008017BB">
        <w:rPr>
          <w:rFonts w:eastAsia="Calibri" w:cstheme="minorHAnsi"/>
        </w:rPr>
        <w:t xml:space="preserve">used these reports for advocacy at the ACHPR and the UN Human Rights Council. The Blue Nile team faced a setback with the arrest of its </w:t>
      </w:r>
      <w:r w:rsidRPr="008017BB">
        <w:rPr>
          <w:rFonts w:eastAsia="Times New Roman" w:cstheme="minorHAnsi"/>
          <w:lang w:eastAsia="ar-SA"/>
        </w:rPr>
        <w:t>team leader in 2015. The team has now been re-energized following a new training of the monitors</w:t>
      </w:r>
      <w:r w:rsidR="00442A3C">
        <w:rPr>
          <w:rFonts w:eastAsia="Times New Roman" w:cstheme="minorHAnsi"/>
          <w:lang w:eastAsia="ar-SA"/>
        </w:rPr>
        <w:t>,</w:t>
      </w:r>
      <w:r w:rsidRPr="008017BB">
        <w:rPr>
          <w:rFonts w:eastAsia="Times New Roman" w:cstheme="minorHAnsi"/>
          <w:lang w:eastAsia="ar-SA"/>
        </w:rPr>
        <w:t xml:space="preserve"> and has recommenced regular reporting. T</w:t>
      </w:r>
      <w:r w:rsidRPr="008017BB">
        <w:rPr>
          <w:rFonts w:cstheme="minorHAnsi"/>
        </w:rPr>
        <w:t xml:space="preserve">wo other grantees, </w:t>
      </w:r>
      <w:r w:rsidR="00442A3C">
        <w:rPr>
          <w:rFonts w:cstheme="minorHAnsi"/>
        </w:rPr>
        <w:t>ACJPS</w:t>
      </w:r>
      <w:r w:rsidRPr="008017BB">
        <w:rPr>
          <w:rFonts w:cstheme="minorHAnsi"/>
        </w:rPr>
        <w:t xml:space="preserve"> and Sudan Democracy First Group </w:t>
      </w:r>
      <w:r w:rsidR="00442A3C">
        <w:rPr>
          <w:rFonts w:cstheme="minorHAnsi"/>
        </w:rPr>
        <w:t xml:space="preserve">(SDFG) </w:t>
      </w:r>
      <w:r w:rsidRPr="008017BB">
        <w:rPr>
          <w:rFonts w:cstheme="minorHAnsi"/>
        </w:rPr>
        <w:t xml:space="preserve">also produced significant reporting on atrocities committed in Sudan’s conflict zones. </w:t>
      </w:r>
    </w:p>
    <w:p w:rsidR="007203A0" w:rsidRPr="008017BB" w:rsidRDefault="007203A0" w:rsidP="00C210CA">
      <w:pPr>
        <w:shd w:val="clear" w:color="auto" w:fill="FFFFFF"/>
        <w:spacing w:line="240" w:lineRule="auto"/>
        <w:jc w:val="both"/>
        <w:rPr>
          <w:rFonts w:cstheme="minorHAnsi"/>
        </w:rPr>
      </w:pPr>
      <w:r w:rsidRPr="008017BB">
        <w:rPr>
          <w:rStyle w:val="yiv0980097780"/>
          <w:rFonts w:cstheme="minorHAnsi"/>
        </w:rPr>
        <w:t xml:space="preserve">The Constitutional Court unexpectedly ordered the Sudanese police to open criminal investigations into an incident in which police killed more than 20 demonstrators in the city of Port Sudan ten years </w:t>
      </w:r>
      <w:r w:rsidR="00154C21" w:rsidRPr="008017BB">
        <w:rPr>
          <w:rStyle w:val="yiv0980097780"/>
          <w:rFonts w:cstheme="minorHAnsi"/>
        </w:rPr>
        <w:t>ago</w:t>
      </w:r>
      <w:r w:rsidRPr="008017BB">
        <w:rPr>
          <w:rStyle w:val="yiv0980097780"/>
          <w:rFonts w:cstheme="minorHAnsi"/>
        </w:rPr>
        <w:t xml:space="preserve">. OSIEA grantee, the People’s Legal Aid Centre (PLACE), obtained this decision on behalf of </w:t>
      </w:r>
      <w:r w:rsidR="00154C21" w:rsidRPr="008017BB">
        <w:rPr>
          <w:rStyle w:val="yiv0980097780"/>
          <w:rFonts w:cstheme="minorHAnsi"/>
        </w:rPr>
        <w:t xml:space="preserve">the </w:t>
      </w:r>
      <w:r w:rsidRPr="008017BB">
        <w:rPr>
          <w:rStyle w:val="yiv0980097780"/>
          <w:rFonts w:cstheme="minorHAnsi"/>
        </w:rPr>
        <w:t xml:space="preserve">families of six victims. </w:t>
      </w:r>
      <w:r w:rsidR="00154C21" w:rsidRPr="008017BB">
        <w:rPr>
          <w:rStyle w:val="yiv0980097780"/>
          <w:rFonts w:cstheme="minorHAnsi"/>
        </w:rPr>
        <w:t>The Constitutional Court ruled that the Office of the Attorney General and the police had failed in their legal duty to open a criminal case as stipulated by the law.</w:t>
      </w:r>
      <w:r w:rsidR="00835660">
        <w:rPr>
          <w:rStyle w:val="yiv0980097780"/>
          <w:rFonts w:cstheme="minorHAnsi"/>
        </w:rPr>
        <w:t xml:space="preserve"> </w:t>
      </w:r>
      <w:r w:rsidRPr="008017BB">
        <w:rPr>
          <w:rStyle w:val="yiv0980097780"/>
          <w:rFonts w:cstheme="minorHAnsi"/>
        </w:rPr>
        <w:t xml:space="preserve">The Minister </w:t>
      </w:r>
      <w:r w:rsidR="00154C21" w:rsidRPr="008017BB">
        <w:rPr>
          <w:rStyle w:val="yiv0980097780"/>
          <w:rFonts w:cstheme="minorHAnsi"/>
        </w:rPr>
        <w:t xml:space="preserve">for </w:t>
      </w:r>
      <w:r w:rsidR="00835660">
        <w:rPr>
          <w:rStyle w:val="yiv0980097780"/>
          <w:rFonts w:cstheme="minorHAnsi"/>
        </w:rPr>
        <w:t>I</w:t>
      </w:r>
      <w:r w:rsidRPr="008017BB">
        <w:rPr>
          <w:rStyle w:val="yiv0980097780"/>
          <w:rFonts w:cstheme="minorHAnsi"/>
        </w:rPr>
        <w:t xml:space="preserve">nterior formed an investigation committee into the incident but its findings were not made public after the government reached a settlement and paid compensation to the families of some of the victims. </w:t>
      </w:r>
    </w:p>
    <w:p w:rsidR="005851C7" w:rsidRDefault="005851C7" w:rsidP="00C210CA">
      <w:pPr>
        <w:spacing w:line="240" w:lineRule="auto"/>
        <w:jc w:val="both"/>
        <w:rPr>
          <w:rFonts w:cstheme="minorHAnsi"/>
          <w:b/>
        </w:rPr>
      </w:pPr>
    </w:p>
    <w:p w:rsidR="005851C7" w:rsidRDefault="005851C7" w:rsidP="00C210CA">
      <w:pPr>
        <w:spacing w:line="240" w:lineRule="auto"/>
        <w:jc w:val="both"/>
        <w:rPr>
          <w:rFonts w:cstheme="minorHAnsi"/>
          <w:b/>
        </w:rPr>
      </w:pPr>
    </w:p>
    <w:p w:rsidR="007203A0" w:rsidRPr="008017BB" w:rsidRDefault="007203A0" w:rsidP="00C210CA">
      <w:pPr>
        <w:spacing w:line="240" w:lineRule="auto"/>
        <w:jc w:val="both"/>
        <w:rPr>
          <w:rFonts w:cstheme="minorHAnsi"/>
          <w:b/>
        </w:rPr>
      </w:pPr>
      <w:r w:rsidRPr="008017BB">
        <w:rPr>
          <w:rFonts w:cstheme="minorHAnsi"/>
          <w:b/>
        </w:rPr>
        <w:lastRenderedPageBreak/>
        <w:t>Goal 5: Increasing awareness and acceptability of disability rights amongst Sudanese government officials and civil society</w:t>
      </w:r>
      <w:r w:rsidR="00442A3C">
        <w:rPr>
          <w:rFonts w:cstheme="minorHAnsi"/>
          <w:b/>
        </w:rPr>
        <w:t>.</w:t>
      </w:r>
    </w:p>
    <w:p w:rsidR="007203A0" w:rsidRPr="008017BB" w:rsidRDefault="007203A0" w:rsidP="00C210CA">
      <w:pPr>
        <w:autoSpaceDE w:val="0"/>
        <w:autoSpaceDN w:val="0"/>
        <w:adjustRightInd w:val="0"/>
        <w:spacing w:line="240" w:lineRule="auto"/>
        <w:jc w:val="both"/>
        <w:rPr>
          <w:rFonts w:cstheme="minorHAnsi"/>
        </w:rPr>
      </w:pPr>
      <w:r w:rsidRPr="008017BB">
        <w:rPr>
          <w:rFonts w:cstheme="minorHAnsi"/>
        </w:rPr>
        <w:t xml:space="preserve">The work of Afkar, an OSIEA grantee working in the field of disability rights, was seriously disrupted because of delays in transferring funds to Sudan, associated with US sanctions. </w:t>
      </w:r>
    </w:p>
    <w:p w:rsidR="007203A0" w:rsidRPr="008017BB" w:rsidRDefault="007203A0" w:rsidP="00C210CA">
      <w:pPr>
        <w:spacing w:line="240" w:lineRule="auto"/>
        <w:jc w:val="both"/>
        <w:rPr>
          <w:rFonts w:cstheme="minorHAnsi"/>
        </w:rPr>
      </w:pPr>
      <w:r w:rsidRPr="008017BB">
        <w:rPr>
          <w:rFonts w:cstheme="minorHAnsi"/>
        </w:rPr>
        <w:t xml:space="preserve">Work on curriculum development with the Faculty of Law of the University of Khartoum got off the ground at the end of the year with a seminar on legal issues related to disability rights in Sudan; it was well attended by many sectors of the disability movement. The event was followed by a celebration of Human Rights Day with disabled people’s organizations </w:t>
      </w:r>
      <w:r w:rsidR="00154C21" w:rsidRPr="008017BB">
        <w:rPr>
          <w:rFonts w:cstheme="minorHAnsi"/>
        </w:rPr>
        <w:t xml:space="preserve">at </w:t>
      </w:r>
      <w:r w:rsidRPr="008017BB">
        <w:rPr>
          <w:rFonts w:cstheme="minorHAnsi"/>
        </w:rPr>
        <w:t>the Faculty of Law of Khartoum University. Brin</w:t>
      </w:r>
      <w:r w:rsidR="00154C21" w:rsidRPr="008017BB">
        <w:rPr>
          <w:rFonts w:cstheme="minorHAnsi"/>
        </w:rPr>
        <w:t>g</w:t>
      </w:r>
      <w:r w:rsidRPr="008017BB">
        <w:rPr>
          <w:rFonts w:cstheme="minorHAnsi"/>
        </w:rPr>
        <w:t>ing disability activists into such a conservative environment was a groundbreaking development.</w:t>
      </w:r>
    </w:p>
    <w:p w:rsidR="007203A0" w:rsidRPr="008017BB" w:rsidRDefault="007203A0" w:rsidP="00C210CA">
      <w:pPr>
        <w:spacing w:line="240" w:lineRule="auto"/>
        <w:jc w:val="both"/>
        <w:rPr>
          <w:rFonts w:cstheme="minorHAnsi"/>
          <w:b/>
        </w:rPr>
      </w:pPr>
      <w:r w:rsidRPr="008017BB">
        <w:rPr>
          <w:rFonts w:cstheme="minorHAnsi"/>
          <w:b/>
        </w:rPr>
        <w:t>Goal 6: Improved enjoyment of human rights by people at risk of statelessness</w:t>
      </w:r>
      <w:r w:rsidR="00442A3C">
        <w:rPr>
          <w:rFonts w:cstheme="minorHAnsi"/>
          <w:b/>
        </w:rPr>
        <w:t>.</w:t>
      </w:r>
    </w:p>
    <w:p w:rsidR="00433C2E" w:rsidRDefault="007203A0" w:rsidP="00C210CA">
      <w:pPr>
        <w:pStyle w:val="Default"/>
        <w:spacing w:after="200"/>
        <w:jc w:val="both"/>
        <w:rPr>
          <w:rFonts w:asciiTheme="minorHAnsi" w:hAnsiTheme="minorHAnsi" w:cstheme="minorHAnsi"/>
          <w:color w:val="auto"/>
          <w:sz w:val="22"/>
          <w:szCs w:val="22"/>
        </w:rPr>
      </w:pPr>
      <w:r w:rsidRPr="008017BB">
        <w:rPr>
          <w:rFonts w:asciiTheme="minorHAnsi" w:hAnsiTheme="minorHAnsi" w:cstheme="minorHAnsi"/>
          <w:sz w:val="22"/>
          <w:szCs w:val="22"/>
        </w:rPr>
        <w:t xml:space="preserve">Efforts to protect nationality rights of people of mixed Sudanese and South Sudanese origin moved to the regional level. OSIEA grantees, ACJPS and the PLACE submitted a petition to the African Committee on the Rights and Welfare of the Child (ACERWC) challenging the government’s denial of Sudanese nationality to a girl with a South Sudanese father and a Sudanese mother. </w:t>
      </w:r>
      <w:r w:rsidRPr="008017BB">
        <w:rPr>
          <w:rFonts w:asciiTheme="minorHAnsi" w:hAnsiTheme="minorHAnsi" w:cstheme="minorHAnsi"/>
          <w:color w:val="auto"/>
          <w:sz w:val="22"/>
          <w:szCs w:val="22"/>
        </w:rPr>
        <w:t xml:space="preserve">This is the first time that a petition has been submitted </w:t>
      </w:r>
      <w:r w:rsidR="00442A3C">
        <w:rPr>
          <w:rFonts w:asciiTheme="minorHAnsi" w:hAnsiTheme="minorHAnsi" w:cstheme="minorHAnsi"/>
          <w:color w:val="auto"/>
          <w:sz w:val="22"/>
          <w:szCs w:val="22"/>
        </w:rPr>
        <w:t>against Sudan at the ACERWC. OSF’s</w:t>
      </w:r>
      <w:r w:rsidRPr="008017BB">
        <w:rPr>
          <w:rFonts w:asciiTheme="minorHAnsi" w:hAnsiTheme="minorHAnsi" w:cstheme="minorHAnsi"/>
          <w:color w:val="auto"/>
          <w:sz w:val="22"/>
          <w:szCs w:val="22"/>
        </w:rPr>
        <w:t xml:space="preserve"> Africa Regional Of</w:t>
      </w:r>
      <w:r w:rsidR="00442A3C">
        <w:rPr>
          <w:rFonts w:asciiTheme="minorHAnsi" w:hAnsiTheme="minorHAnsi" w:cstheme="minorHAnsi"/>
          <w:color w:val="auto"/>
          <w:sz w:val="22"/>
          <w:szCs w:val="22"/>
        </w:rPr>
        <w:t xml:space="preserve">fice and </w:t>
      </w:r>
      <w:r w:rsidR="00835660">
        <w:rPr>
          <w:rFonts w:asciiTheme="minorHAnsi" w:hAnsiTheme="minorHAnsi" w:cstheme="minorHAnsi"/>
          <w:color w:val="auto"/>
          <w:sz w:val="22"/>
          <w:szCs w:val="22"/>
        </w:rPr>
        <w:t xml:space="preserve">Justice Initiative </w:t>
      </w:r>
      <w:r w:rsidRPr="008017BB">
        <w:rPr>
          <w:rFonts w:asciiTheme="minorHAnsi" w:hAnsiTheme="minorHAnsi" w:cstheme="minorHAnsi"/>
          <w:color w:val="auto"/>
          <w:sz w:val="22"/>
          <w:szCs w:val="22"/>
        </w:rPr>
        <w:t>provide</w:t>
      </w:r>
      <w:r w:rsidR="00433C2E">
        <w:rPr>
          <w:rFonts w:asciiTheme="minorHAnsi" w:hAnsiTheme="minorHAnsi" w:cstheme="minorHAnsi"/>
          <w:color w:val="auto"/>
          <w:sz w:val="22"/>
          <w:szCs w:val="22"/>
        </w:rPr>
        <w:t xml:space="preserve">d extensive technical support. </w:t>
      </w:r>
    </w:p>
    <w:p w:rsidR="007203A0" w:rsidRPr="008017BB" w:rsidRDefault="007203A0" w:rsidP="00C210CA">
      <w:pPr>
        <w:pStyle w:val="Default"/>
        <w:spacing w:after="200"/>
        <w:jc w:val="both"/>
        <w:rPr>
          <w:rFonts w:asciiTheme="minorHAnsi" w:hAnsiTheme="minorHAnsi" w:cstheme="minorHAnsi"/>
          <w:sz w:val="22"/>
          <w:szCs w:val="22"/>
        </w:rPr>
      </w:pPr>
      <w:r w:rsidRPr="008017BB">
        <w:rPr>
          <w:rFonts w:asciiTheme="minorHAnsi" w:hAnsiTheme="minorHAnsi" w:cstheme="minorHAnsi"/>
          <w:color w:val="auto"/>
          <w:sz w:val="22"/>
          <w:szCs w:val="22"/>
        </w:rPr>
        <w:t xml:space="preserve">PLACE’s work providing legal aid to southerners </w:t>
      </w:r>
      <w:r w:rsidRPr="008017BB">
        <w:rPr>
          <w:rFonts w:asciiTheme="minorHAnsi" w:hAnsiTheme="minorHAnsi" w:cstheme="minorHAnsi"/>
          <w:sz w:val="22"/>
          <w:szCs w:val="22"/>
        </w:rPr>
        <w:t xml:space="preserve">broadened as it opened law offices in Kassala, South Kordofan, Blue Nile and </w:t>
      </w:r>
      <w:r w:rsidR="00C47FEF" w:rsidRPr="008017BB">
        <w:rPr>
          <w:rFonts w:asciiTheme="minorHAnsi" w:hAnsiTheme="minorHAnsi" w:cstheme="minorHAnsi"/>
          <w:sz w:val="22"/>
          <w:szCs w:val="22"/>
        </w:rPr>
        <w:t>N</w:t>
      </w:r>
      <w:r w:rsidRPr="008017BB">
        <w:rPr>
          <w:rFonts w:asciiTheme="minorHAnsi" w:hAnsiTheme="minorHAnsi" w:cstheme="minorHAnsi"/>
          <w:sz w:val="22"/>
          <w:szCs w:val="22"/>
        </w:rPr>
        <w:t>orthern States. Investment in the network of community leaders paid of</w:t>
      </w:r>
      <w:r w:rsidR="00C47FEF" w:rsidRPr="008017BB">
        <w:rPr>
          <w:rFonts w:asciiTheme="minorHAnsi" w:hAnsiTheme="minorHAnsi" w:cstheme="minorHAnsi"/>
          <w:sz w:val="22"/>
          <w:szCs w:val="22"/>
        </w:rPr>
        <w:t xml:space="preserve">f </w:t>
      </w:r>
      <w:r w:rsidRPr="008017BB">
        <w:rPr>
          <w:rFonts w:asciiTheme="minorHAnsi" w:hAnsiTheme="minorHAnsi" w:cstheme="minorHAnsi"/>
          <w:sz w:val="22"/>
          <w:szCs w:val="22"/>
        </w:rPr>
        <w:t>as it was able to respond quickly and effectively to a raid and mass arrests in a Khartoum camp.</w:t>
      </w:r>
    </w:p>
    <w:p w:rsidR="00433C2E" w:rsidRDefault="00433C2E" w:rsidP="00C210CA">
      <w:pPr>
        <w:rPr>
          <w:rStyle w:val="IntenseEmphasis"/>
          <w:rFonts w:cstheme="minorHAnsi"/>
        </w:rPr>
      </w:pPr>
      <w:r>
        <w:rPr>
          <w:rStyle w:val="IntenseEmphasis"/>
          <w:rFonts w:cstheme="minorHAnsi"/>
        </w:rPr>
        <w:br w:type="page"/>
      </w:r>
    </w:p>
    <w:p w:rsidR="00442A3C" w:rsidRDefault="00442A3C" w:rsidP="00C210CA">
      <w:pPr>
        <w:spacing w:line="240" w:lineRule="auto"/>
        <w:jc w:val="both"/>
        <w:rPr>
          <w:rStyle w:val="IntenseEmphasis"/>
          <w:rFonts w:cstheme="minorHAnsi"/>
        </w:rPr>
      </w:pPr>
      <w:r>
        <w:rPr>
          <w:rStyle w:val="IntenseEmphasis"/>
          <w:rFonts w:cstheme="minorHAnsi"/>
        </w:rPr>
        <w:lastRenderedPageBreak/>
        <w:t xml:space="preserve">SOUTH SUDAN </w:t>
      </w:r>
    </w:p>
    <w:p w:rsidR="007203A0" w:rsidRPr="008017BB" w:rsidRDefault="00D60D7F" w:rsidP="00C210CA">
      <w:pPr>
        <w:spacing w:line="240" w:lineRule="auto"/>
        <w:jc w:val="both"/>
        <w:rPr>
          <w:rStyle w:val="IntenseEmphasis"/>
          <w:rFonts w:cstheme="minorHAnsi"/>
        </w:rPr>
      </w:pPr>
      <w:r>
        <w:rPr>
          <w:rStyle w:val="IntenseEmphasis"/>
          <w:rFonts w:cstheme="minorHAnsi"/>
        </w:rPr>
        <w:pict>
          <v:rect id="_x0000_i1027" style="width:0;height:1.5pt" o:hralign="center" o:hrstd="t" o:hr="t" fillcolor="#a0a0a0" stroked="f"/>
        </w:pict>
      </w:r>
    </w:p>
    <w:p w:rsidR="007203A0" w:rsidRPr="008017BB" w:rsidRDefault="007203A0" w:rsidP="00C210CA">
      <w:pPr>
        <w:spacing w:line="240" w:lineRule="auto"/>
        <w:jc w:val="both"/>
        <w:rPr>
          <w:rFonts w:cstheme="minorHAnsi"/>
          <w:b/>
        </w:rPr>
      </w:pPr>
      <w:r w:rsidRPr="008017BB">
        <w:rPr>
          <w:rFonts w:cstheme="minorHAnsi"/>
          <w:b/>
        </w:rPr>
        <w:t xml:space="preserve">Goal 1: Citizens and civil society actors are facilitated to participate in the constitutional review and implementation process to secure ownership and safeguard a permanent Constitution. </w:t>
      </w:r>
    </w:p>
    <w:p w:rsidR="007203A0" w:rsidRPr="008017BB" w:rsidRDefault="005D1F7C" w:rsidP="00C210CA">
      <w:pPr>
        <w:spacing w:line="240" w:lineRule="auto"/>
        <w:jc w:val="both"/>
        <w:rPr>
          <w:rFonts w:cstheme="minorHAnsi"/>
        </w:rPr>
      </w:pPr>
      <w:r>
        <w:rPr>
          <w:rFonts w:cstheme="minorHAnsi"/>
        </w:rPr>
        <w:t>Efforts to write a new C</w:t>
      </w:r>
      <w:r w:rsidR="007203A0" w:rsidRPr="008017BB">
        <w:rPr>
          <w:rFonts w:cstheme="minorHAnsi"/>
        </w:rPr>
        <w:t xml:space="preserve">onstitution for South Sudan </w:t>
      </w:r>
      <w:r w:rsidR="00835660">
        <w:rPr>
          <w:rFonts w:cstheme="minorHAnsi"/>
        </w:rPr>
        <w:t xml:space="preserve">were </w:t>
      </w:r>
      <w:r w:rsidR="007203A0" w:rsidRPr="008017BB">
        <w:rPr>
          <w:rFonts w:cstheme="minorHAnsi"/>
        </w:rPr>
        <w:t>thwarted and the national transit</w:t>
      </w:r>
      <w:r>
        <w:rPr>
          <w:rFonts w:cstheme="minorHAnsi"/>
        </w:rPr>
        <w:t>ional C</w:t>
      </w:r>
      <w:r w:rsidR="00835660">
        <w:rPr>
          <w:rFonts w:cstheme="minorHAnsi"/>
        </w:rPr>
        <w:t xml:space="preserve">onstitution </w:t>
      </w:r>
      <w:r w:rsidR="007203A0" w:rsidRPr="008017BB">
        <w:rPr>
          <w:rFonts w:cstheme="minorHAnsi"/>
        </w:rPr>
        <w:t xml:space="preserve">amended to cater for the anticipated constitutional vacuum the country would otherwise have experienced without holding elections. With </w:t>
      </w:r>
      <w:r w:rsidR="00C47FEF" w:rsidRPr="008017BB">
        <w:rPr>
          <w:rFonts w:cstheme="minorHAnsi"/>
        </w:rPr>
        <w:t xml:space="preserve">the </w:t>
      </w:r>
      <w:r w:rsidR="007203A0" w:rsidRPr="008017BB">
        <w:rPr>
          <w:rFonts w:cstheme="minorHAnsi"/>
        </w:rPr>
        <w:t xml:space="preserve">signing </w:t>
      </w:r>
      <w:r w:rsidR="00C47FEF" w:rsidRPr="008017BB">
        <w:rPr>
          <w:rFonts w:cstheme="minorHAnsi"/>
        </w:rPr>
        <w:t xml:space="preserve">of </w:t>
      </w:r>
      <w:r w:rsidR="007203A0" w:rsidRPr="008017BB">
        <w:rPr>
          <w:rFonts w:cstheme="minorHAnsi"/>
        </w:rPr>
        <w:t>the peace agreement in</w:t>
      </w:r>
      <w:r>
        <w:rPr>
          <w:rFonts w:cstheme="minorHAnsi"/>
        </w:rPr>
        <w:t xml:space="preserve"> August 2015, the transitional C</w:t>
      </w:r>
      <w:r w:rsidR="007203A0" w:rsidRPr="008017BB">
        <w:rPr>
          <w:rFonts w:cstheme="minorHAnsi"/>
        </w:rPr>
        <w:t xml:space="preserve">onstitution will be further amended to incorporate the peace agreement and guide the </w:t>
      </w:r>
      <w:r w:rsidR="0054326B">
        <w:rPr>
          <w:rFonts w:cstheme="minorHAnsi"/>
        </w:rPr>
        <w:t>thirty</w:t>
      </w:r>
      <w:r w:rsidR="007203A0" w:rsidRPr="008017BB">
        <w:rPr>
          <w:rFonts w:cstheme="minorHAnsi"/>
        </w:rPr>
        <w:t xml:space="preserve"> months of the Transitional Government of National Unity (TGoNU) agreed </w:t>
      </w:r>
      <w:r w:rsidR="00C47FEF" w:rsidRPr="008017BB">
        <w:rPr>
          <w:rFonts w:cstheme="minorHAnsi"/>
        </w:rPr>
        <w:t xml:space="preserve">upon </w:t>
      </w:r>
      <w:r w:rsidR="007203A0" w:rsidRPr="008017BB">
        <w:rPr>
          <w:rFonts w:cstheme="minorHAnsi"/>
        </w:rPr>
        <w:t xml:space="preserve">in the peace accord. </w:t>
      </w:r>
    </w:p>
    <w:p w:rsidR="007203A0" w:rsidRPr="008017BB" w:rsidRDefault="007203A0" w:rsidP="00C210CA">
      <w:pPr>
        <w:tabs>
          <w:tab w:val="num" w:pos="720"/>
        </w:tabs>
        <w:spacing w:line="240" w:lineRule="auto"/>
        <w:jc w:val="both"/>
        <w:rPr>
          <w:rFonts w:cstheme="minorHAnsi"/>
        </w:rPr>
      </w:pPr>
      <w:r w:rsidRPr="008017BB">
        <w:rPr>
          <w:rFonts w:cstheme="minorHAnsi"/>
        </w:rPr>
        <w:t>OSIEA supported civil society through Citizens for Peace and Justice (CPJ) to participate effectively in the peace process and advocate for a peace agreement which promoted an inclusive constitutional process, strong human rights protections, effective government institutions and the separation of powers. Significant debate at home and contributions of civil socie</w:t>
      </w:r>
      <w:r w:rsidR="005D1F7C">
        <w:rPr>
          <w:rFonts w:cstheme="minorHAnsi"/>
        </w:rPr>
        <w:t>ty inputs informed “the peoples”</w:t>
      </w:r>
      <w:r w:rsidRPr="008017BB">
        <w:rPr>
          <w:rFonts w:cstheme="minorHAnsi"/>
        </w:rPr>
        <w:t xml:space="preserve"> peace proposal” a framework document that shaped the final peace accord signed in August 2015. </w:t>
      </w:r>
    </w:p>
    <w:p w:rsidR="007203A0" w:rsidRPr="008017BB" w:rsidRDefault="00C47FEF" w:rsidP="00C210CA">
      <w:pPr>
        <w:tabs>
          <w:tab w:val="num" w:pos="720"/>
        </w:tabs>
        <w:spacing w:line="240" w:lineRule="auto"/>
        <w:jc w:val="both"/>
        <w:rPr>
          <w:rFonts w:cstheme="minorHAnsi"/>
        </w:rPr>
      </w:pPr>
      <w:r w:rsidRPr="008017BB">
        <w:rPr>
          <w:rFonts w:cstheme="minorHAnsi"/>
        </w:rPr>
        <w:t>A</w:t>
      </w:r>
      <w:r w:rsidR="007203A0" w:rsidRPr="008017BB">
        <w:rPr>
          <w:rFonts w:cstheme="minorHAnsi"/>
          <w:noProof/>
        </w:rPr>
        <w:t xml:space="preserve"> grant to the South Sudan Law Society</w:t>
      </w:r>
      <w:r w:rsidR="00DF5164">
        <w:rPr>
          <w:rFonts w:cstheme="minorHAnsi"/>
          <w:noProof/>
        </w:rPr>
        <w:t xml:space="preserve"> (SSLS)</w:t>
      </w:r>
      <w:r w:rsidR="007203A0" w:rsidRPr="008017BB">
        <w:rPr>
          <w:rFonts w:cstheme="minorHAnsi"/>
          <w:noProof/>
        </w:rPr>
        <w:t xml:space="preserve"> supported dialogue and debate largely focused on how South Sudan should be govern</w:t>
      </w:r>
      <w:r w:rsidRPr="008017BB">
        <w:rPr>
          <w:rFonts w:cstheme="minorHAnsi"/>
          <w:noProof/>
        </w:rPr>
        <w:t xml:space="preserve">ed </w:t>
      </w:r>
      <w:r w:rsidR="007203A0" w:rsidRPr="008017BB">
        <w:rPr>
          <w:rFonts w:cstheme="minorHAnsi"/>
          <w:noProof/>
        </w:rPr>
        <w:t xml:space="preserve">in the future, the need for transitional justice and how the country can </w:t>
      </w:r>
      <w:r w:rsidRPr="008017BB">
        <w:rPr>
          <w:rFonts w:cstheme="minorHAnsi"/>
          <w:noProof/>
        </w:rPr>
        <w:t xml:space="preserve">reconcile. </w:t>
      </w:r>
      <w:r w:rsidR="007203A0" w:rsidRPr="008017BB">
        <w:rPr>
          <w:rFonts w:cstheme="minorHAnsi"/>
        </w:rPr>
        <w:t>However, efforts to find a politi</w:t>
      </w:r>
      <w:r w:rsidR="00835660">
        <w:rPr>
          <w:rFonts w:cstheme="minorHAnsi"/>
        </w:rPr>
        <w:t>cal settlement to the conflict we</w:t>
      </w:r>
      <w:r w:rsidR="007203A0" w:rsidRPr="008017BB">
        <w:rPr>
          <w:rFonts w:cstheme="minorHAnsi"/>
        </w:rPr>
        <w:t xml:space="preserve">re slow and in many cases driven by </w:t>
      </w:r>
      <w:r w:rsidR="00440DA7" w:rsidRPr="008017BB">
        <w:rPr>
          <w:rFonts w:cstheme="minorHAnsi"/>
        </w:rPr>
        <w:t xml:space="preserve">the </w:t>
      </w:r>
      <w:r w:rsidR="007203A0" w:rsidRPr="008017BB">
        <w:rPr>
          <w:rFonts w:cstheme="minorHAnsi"/>
        </w:rPr>
        <w:t>personal ambitions and interests of politicians. In the context of open hostility and conflict, voices of truth, justice, reason and tolerance are both brave and critical.</w:t>
      </w:r>
    </w:p>
    <w:p w:rsidR="007203A0" w:rsidRPr="008017BB" w:rsidRDefault="007203A0" w:rsidP="00C210CA">
      <w:pPr>
        <w:pStyle w:val="ListParagraph"/>
        <w:spacing w:line="240" w:lineRule="auto"/>
        <w:ind w:left="0"/>
        <w:contextualSpacing w:val="0"/>
        <w:jc w:val="both"/>
        <w:rPr>
          <w:rFonts w:cstheme="minorHAnsi"/>
          <w:b/>
        </w:rPr>
      </w:pPr>
      <w:r w:rsidRPr="008017BB">
        <w:rPr>
          <w:rFonts w:cstheme="minorHAnsi"/>
          <w:b/>
        </w:rPr>
        <w:t>Goal 2:</w:t>
      </w:r>
      <w:r w:rsidR="005C332D">
        <w:rPr>
          <w:rFonts w:cstheme="minorHAnsi"/>
          <w:b/>
        </w:rPr>
        <w:t xml:space="preserve"> </w:t>
      </w:r>
      <w:r w:rsidRPr="008017BB">
        <w:rPr>
          <w:rFonts w:cstheme="minorHAnsi"/>
          <w:b/>
        </w:rPr>
        <w:t>An inclusive and positive South Sudanese identity based on respect for diversity and promotion of social cohesion.</w:t>
      </w:r>
    </w:p>
    <w:p w:rsidR="007203A0" w:rsidRPr="008017BB" w:rsidRDefault="007203A0" w:rsidP="00C210CA">
      <w:pPr>
        <w:pStyle w:val="NoSpacing"/>
        <w:spacing w:after="200"/>
        <w:jc w:val="both"/>
        <w:rPr>
          <w:rFonts w:cstheme="minorHAnsi"/>
        </w:rPr>
      </w:pPr>
      <w:r w:rsidRPr="008017BB">
        <w:rPr>
          <w:rFonts w:cstheme="minorHAnsi"/>
        </w:rPr>
        <w:t>Building one inclusive national identity that transcends ethnicit</w:t>
      </w:r>
      <w:r w:rsidR="00440DA7" w:rsidRPr="008017BB">
        <w:rPr>
          <w:rFonts w:cstheme="minorHAnsi"/>
        </w:rPr>
        <w:t>y</w:t>
      </w:r>
      <w:r w:rsidRPr="008017BB">
        <w:rPr>
          <w:rFonts w:cstheme="minorHAnsi"/>
        </w:rPr>
        <w:t xml:space="preserve"> remains a challenge in South Sudan especially following the December 2013 conflict. Ethnic affiliation and tribal tendencies have been entrenched further despite the numerous connectors and commonalities that exist across nationalities.  OSIEA supported </w:t>
      </w:r>
      <w:r w:rsidR="00440DA7" w:rsidRPr="008017BB">
        <w:rPr>
          <w:rFonts w:cstheme="minorHAnsi"/>
        </w:rPr>
        <w:t xml:space="preserve">the </w:t>
      </w:r>
      <w:r w:rsidRPr="008017BB">
        <w:rPr>
          <w:rFonts w:cstheme="minorHAnsi"/>
        </w:rPr>
        <w:t>S</w:t>
      </w:r>
      <w:r w:rsidR="00440DA7" w:rsidRPr="008017BB">
        <w:rPr>
          <w:rFonts w:cstheme="minorHAnsi"/>
        </w:rPr>
        <w:t xml:space="preserve">outh </w:t>
      </w:r>
      <w:r w:rsidRPr="008017BB">
        <w:rPr>
          <w:rFonts w:cstheme="minorHAnsi"/>
        </w:rPr>
        <w:t>S</w:t>
      </w:r>
      <w:r w:rsidR="00440DA7" w:rsidRPr="008017BB">
        <w:rPr>
          <w:rFonts w:cstheme="minorHAnsi"/>
        </w:rPr>
        <w:t xml:space="preserve">udan </w:t>
      </w:r>
      <w:r w:rsidRPr="008017BB">
        <w:rPr>
          <w:rFonts w:cstheme="minorHAnsi"/>
        </w:rPr>
        <w:t>T</w:t>
      </w:r>
      <w:r w:rsidR="00440DA7" w:rsidRPr="008017BB">
        <w:rPr>
          <w:rFonts w:cstheme="minorHAnsi"/>
        </w:rPr>
        <w:t xml:space="preserve">heatre </w:t>
      </w:r>
      <w:r w:rsidRPr="008017BB">
        <w:rPr>
          <w:rFonts w:cstheme="minorHAnsi"/>
        </w:rPr>
        <w:t>O</w:t>
      </w:r>
      <w:r w:rsidR="00440DA7" w:rsidRPr="008017BB">
        <w:rPr>
          <w:rFonts w:cstheme="minorHAnsi"/>
        </w:rPr>
        <w:t>rganization (SSTO)</w:t>
      </w:r>
      <w:r w:rsidRPr="008017BB">
        <w:rPr>
          <w:rFonts w:cstheme="minorHAnsi"/>
        </w:rPr>
        <w:t xml:space="preserve"> to use theatre to amplify the many connectors that exist across South Sudanese ethnicities</w:t>
      </w:r>
      <w:r w:rsidR="008F1395" w:rsidRPr="008017BB">
        <w:rPr>
          <w:rFonts w:cstheme="minorHAnsi"/>
        </w:rPr>
        <w:t xml:space="preserve">; attempting </w:t>
      </w:r>
      <w:r w:rsidRPr="008017BB">
        <w:rPr>
          <w:rFonts w:cstheme="minorHAnsi"/>
        </w:rPr>
        <w:t>to unite the groups. This prov</w:t>
      </w:r>
      <w:r w:rsidR="00835660">
        <w:rPr>
          <w:rFonts w:cstheme="minorHAnsi"/>
        </w:rPr>
        <w:t>ed effective and had</w:t>
      </w:r>
      <w:r w:rsidRPr="008017BB">
        <w:rPr>
          <w:rFonts w:cstheme="minorHAnsi"/>
        </w:rPr>
        <w:t xml:space="preserve"> a greater multiplier effect in schools and organized groups. Secondary schools and organized groups in Upper Nile, Equatoria and Bahr el Ghazal regions acknowledged the importance of theatre and established </w:t>
      </w:r>
      <w:r w:rsidR="0054326B">
        <w:rPr>
          <w:rFonts w:cstheme="minorHAnsi"/>
        </w:rPr>
        <w:t>thirty two</w:t>
      </w:r>
      <w:r w:rsidRPr="008017BB">
        <w:rPr>
          <w:rFonts w:cstheme="minorHAnsi"/>
        </w:rPr>
        <w:t xml:space="preserve"> school and nine independent association troupes. The groups attracted additional funding from </w:t>
      </w:r>
      <w:r w:rsidR="005C332D">
        <w:rPr>
          <w:rFonts w:cstheme="minorHAnsi"/>
        </w:rPr>
        <w:t xml:space="preserve">the </w:t>
      </w:r>
      <w:r w:rsidR="005C332D" w:rsidRPr="005C332D">
        <w:rPr>
          <w:rFonts w:cstheme="minorHAnsi"/>
        </w:rPr>
        <w:t>United States Agency for International Development</w:t>
      </w:r>
      <w:r w:rsidR="005C332D">
        <w:rPr>
          <w:rFonts w:cstheme="minorHAnsi"/>
        </w:rPr>
        <w:t>’s</w:t>
      </w:r>
      <w:r w:rsidR="005C332D" w:rsidRPr="005C332D">
        <w:rPr>
          <w:rFonts w:cstheme="minorHAnsi"/>
        </w:rPr>
        <w:t xml:space="preserve"> South Sudan's Viable Support to Transition and Stabilit</w:t>
      </w:r>
      <w:r w:rsidR="005C332D">
        <w:rPr>
          <w:rFonts w:cstheme="minorHAnsi"/>
        </w:rPr>
        <w:t>y (USAID’s</w:t>
      </w:r>
      <w:r w:rsidR="005C332D" w:rsidRPr="005C332D">
        <w:rPr>
          <w:rFonts w:cstheme="minorHAnsi"/>
        </w:rPr>
        <w:t xml:space="preserve"> </w:t>
      </w:r>
      <w:r w:rsidRPr="008017BB">
        <w:rPr>
          <w:rFonts w:cstheme="minorHAnsi"/>
        </w:rPr>
        <w:t>VISTAS</w:t>
      </w:r>
      <w:r w:rsidR="005C332D">
        <w:rPr>
          <w:rFonts w:cstheme="minorHAnsi"/>
        </w:rPr>
        <w:t>) and Trans M</w:t>
      </w:r>
      <w:r w:rsidRPr="008017BB">
        <w:rPr>
          <w:rFonts w:cstheme="minorHAnsi"/>
        </w:rPr>
        <w:t xml:space="preserve">edia. </w:t>
      </w:r>
    </w:p>
    <w:p w:rsidR="007203A0" w:rsidRPr="008017BB" w:rsidRDefault="007203A0" w:rsidP="00C210CA">
      <w:pPr>
        <w:pStyle w:val="NoSpacing"/>
        <w:spacing w:after="200"/>
        <w:jc w:val="both"/>
        <w:rPr>
          <w:rFonts w:cstheme="minorHAnsi"/>
        </w:rPr>
      </w:pPr>
      <w:r w:rsidRPr="008017BB">
        <w:rPr>
          <w:rFonts w:cstheme="minorHAnsi"/>
        </w:rPr>
        <w:t xml:space="preserve">The Community Empowerment for Rehabilitation and Development (CEFoRD) an OSIEA grantee that uses </w:t>
      </w:r>
      <w:r w:rsidR="00B50790" w:rsidRPr="008017BB">
        <w:rPr>
          <w:rFonts w:cstheme="minorHAnsi"/>
        </w:rPr>
        <w:t>f</w:t>
      </w:r>
      <w:r w:rsidRPr="008017BB">
        <w:rPr>
          <w:rFonts w:cstheme="minorHAnsi"/>
        </w:rPr>
        <w:t xml:space="preserve">orum </w:t>
      </w:r>
      <w:r w:rsidR="00B50790" w:rsidRPr="008017BB">
        <w:rPr>
          <w:rFonts w:cstheme="minorHAnsi"/>
        </w:rPr>
        <w:t>t</w:t>
      </w:r>
      <w:r w:rsidR="005C332D">
        <w:rPr>
          <w:rFonts w:cstheme="minorHAnsi"/>
        </w:rPr>
        <w:t xml:space="preserve">heatre, </w:t>
      </w:r>
      <w:r w:rsidRPr="008017BB">
        <w:rPr>
          <w:rFonts w:cstheme="minorHAnsi"/>
        </w:rPr>
        <w:t>reached out to youth through its “youth for youth project” mobilizing young people to debate and dialogue on connectors and commonalities among the youth. The debates allowed youth to reflect on shared values and interests, common experiences and shared symbols and occasions that tie South Sudanese together. Following the reflections</w:t>
      </w:r>
      <w:r w:rsidR="005C332D">
        <w:rPr>
          <w:rFonts w:cstheme="minorHAnsi"/>
        </w:rPr>
        <w:t>,</w:t>
      </w:r>
      <w:r w:rsidRPr="008017BB">
        <w:rPr>
          <w:rFonts w:cstheme="minorHAnsi"/>
        </w:rPr>
        <w:t xml:space="preserve"> young people started local initiatives of amplifying the connectors in society. For example the Maya Cultural Organization (Maya) an OSIEA grantee tha</w:t>
      </w:r>
      <w:r w:rsidR="00835660">
        <w:rPr>
          <w:rFonts w:cstheme="minorHAnsi"/>
        </w:rPr>
        <w:t>t works closely with CEFoRD used</w:t>
      </w:r>
      <w:r w:rsidRPr="008017BB">
        <w:rPr>
          <w:rFonts w:cstheme="minorHAnsi"/>
        </w:rPr>
        <w:t xml:space="preserve"> music to disseminate and amplify the connectors in society. </w:t>
      </w:r>
    </w:p>
    <w:p w:rsidR="007203A0" w:rsidRPr="008017BB" w:rsidRDefault="007203A0" w:rsidP="00C210CA">
      <w:pPr>
        <w:spacing w:line="240" w:lineRule="auto"/>
        <w:jc w:val="both"/>
        <w:rPr>
          <w:rFonts w:cstheme="minorHAnsi"/>
          <w:b/>
        </w:rPr>
      </w:pPr>
      <w:r w:rsidRPr="00F06E84">
        <w:rPr>
          <w:rFonts w:cstheme="minorHAnsi"/>
          <w:b/>
        </w:rPr>
        <w:t>Goal 4: Citizens and communities inform public spending priorities, seek budget transparency, and monitor public expenditure.</w:t>
      </w:r>
      <w:r w:rsidRPr="008017BB">
        <w:rPr>
          <w:rFonts w:cstheme="minorHAnsi"/>
          <w:b/>
        </w:rPr>
        <w:t xml:space="preserve"> </w:t>
      </w:r>
    </w:p>
    <w:p w:rsidR="007203A0" w:rsidRPr="008017BB" w:rsidRDefault="007203A0" w:rsidP="00C210CA">
      <w:pPr>
        <w:spacing w:line="240" w:lineRule="auto"/>
        <w:jc w:val="both"/>
        <w:rPr>
          <w:rFonts w:cstheme="minorHAnsi"/>
          <w:b/>
        </w:rPr>
      </w:pPr>
      <w:r w:rsidRPr="008017BB">
        <w:rPr>
          <w:rFonts w:cstheme="minorHAnsi"/>
          <w:lang w:eastAsia="nl-NL"/>
        </w:rPr>
        <w:t>Communities and development partners in Yei, Lainya, Morobo and Kajokeji counties hav</w:t>
      </w:r>
      <w:r w:rsidR="00F06E84">
        <w:rPr>
          <w:rFonts w:cstheme="minorHAnsi"/>
          <w:lang w:eastAsia="nl-NL"/>
        </w:rPr>
        <w:t xml:space="preserve">e recognized the importance of </w:t>
      </w:r>
      <w:r w:rsidRPr="008017BB">
        <w:rPr>
          <w:rFonts w:cstheme="minorHAnsi"/>
          <w:lang w:eastAsia="nl-NL"/>
        </w:rPr>
        <w:t xml:space="preserve">development plans pioneered by the Center for Democracy and Development (CEDED) </w:t>
      </w:r>
      <w:r w:rsidRPr="008017BB">
        <w:rPr>
          <w:rFonts w:cstheme="minorHAnsi"/>
          <w:lang w:eastAsia="nl-NL"/>
        </w:rPr>
        <w:lastRenderedPageBreak/>
        <w:t>through its consortium member the Center for Democracy Initiative</w:t>
      </w:r>
      <w:r w:rsidR="00F06E84">
        <w:rPr>
          <w:rFonts w:cstheme="minorHAnsi"/>
          <w:lang w:eastAsia="nl-NL"/>
        </w:rPr>
        <w:t xml:space="preserve"> </w:t>
      </w:r>
      <w:r w:rsidRPr="008017BB">
        <w:rPr>
          <w:rFonts w:cstheme="minorHAnsi"/>
          <w:lang w:eastAsia="nl-NL"/>
        </w:rPr>
        <w:t>- South Sudan</w:t>
      </w:r>
      <w:r w:rsidR="00F06E84">
        <w:rPr>
          <w:rFonts w:cstheme="minorHAnsi"/>
          <w:lang w:eastAsia="nl-NL"/>
        </w:rPr>
        <w:t xml:space="preserve"> (CDISS)</w:t>
      </w:r>
      <w:r w:rsidRPr="008017BB">
        <w:rPr>
          <w:rFonts w:cstheme="minorHAnsi"/>
          <w:lang w:eastAsia="nl-NL"/>
        </w:rPr>
        <w:t xml:space="preserve">. </w:t>
      </w:r>
      <w:r w:rsidR="00841052" w:rsidRPr="008017BB">
        <w:rPr>
          <w:rFonts w:cstheme="minorHAnsi"/>
          <w:lang w:eastAsia="nl-NL"/>
        </w:rPr>
        <w:t xml:space="preserve">This was the </w:t>
      </w:r>
      <w:r w:rsidRPr="008017BB">
        <w:rPr>
          <w:rFonts w:cstheme="minorHAnsi"/>
          <w:lang w:eastAsia="nl-NL"/>
        </w:rPr>
        <w:t xml:space="preserve">third year </w:t>
      </w:r>
      <w:r w:rsidR="006317F2">
        <w:rPr>
          <w:rFonts w:cstheme="minorHAnsi"/>
          <w:lang w:eastAsia="nl-NL"/>
        </w:rPr>
        <w:t xml:space="preserve">of implementation </w:t>
      </w:r>
      <w:r w:rsidR="00F06E84" w:rsidRPr="008017BB">
        <w:rPr>
          <w:rFonts w:cstheme="minorHAnsi"/>
          <w:lang w:eastAsia="nl-NL"/>
        </w:rPr>
        <w:t>of county development plans</w:t>
      </w:r>
      <w:r w:rsidR="00F06E84">
        <w:rPr>
          <w:rFonts w:cstheme="minorHAnsi"/>
          <w:lang w:eastAsia="nl-NL"/>
        </w:rPr>
        <w:t xml:space="preserve"> </w:t>
      </w:r>
      <w:r w:rsidR="006317F2">
        <w:rPr>
          <w:rFonts w:cstheme="minorHAnsi"/>
          <w:lang w:eastAsia="nl-NL"/>
        </w:rPr>
        <w:t xml:space="preserve">in </w:t>
      </w:r>
      <w:r w:rsidRPr="008017BB">
        <w:rPr>
          <w:rFonts w:cstheme="minorHAnsi"/>
          <w:lang w:eastAsia="nl-NL"/>
        </w:rPr>
        <w:t xml:space="preserve">Yei, Morobo and Lainya, formulated in 2012 with funding from OSIEA and the World Bank. The World Bank and </w:t>
      </w:r>
      <w:r w:rsidR="00F06E84" w:rsidRPr="00F06E84">
        <w:rPr>
          <w:rFonts w:cstheme="minorHAnsi"/>
          <w:lang w:eastAsia="nl-NL"/>
        </w:rPr>
        <w:t xml:space="preserve">The Department for International Development </w:t>
      </w:r>
      <w:r w:rsidR="00F06E84">
        <w:rPr>
          <w:rFonts w:cstheme="minorHAnsi"/>
          <w:lang w:eastAsia="nl-NL"/>
        </w:rPr>
        <w:t>(</w:t>
      </w:r>
      <w:r w:rsidRPr="008017BB">
        <w:rPr>
          <w:rFonts w:cstheme="minorHAnsi"/>
          <w:lang w:eastAsia="nl-NL"/>
        </w:rPr>
        <w:t>DFID</w:t>
      </w:r>
      <w:r w:rsidR="00F06E84">
        <w:rPr>
          <w:rFonts w:cstheme="minorHAnsi"/>
          <w:lang w:eastAsia="nl-NL"/>
        </w:rPr>
        <w:t>)</w:t>
      </w:r>
      <w:r w:rsidRPr="008017BB">
        <w:rPr>
          <w:rFonts w:cstheme="minorHAnsi"/>
          <w:lang w:eastAsia="nl-NL"/>
        </w:rPr>
        <w:t xml:space="preserve"> have been inspired by the model and are scaling up in Western Equatoria, Jonglei and Eastern Equatoria</w:t>
      </w:r>
      <w:r w:rsidR="00F06E84">
        <w:rPr>
          <w:rFonts w:cstheme="minorHAnsi"/>
          <w:lang w:eastAsia="nl-NL"/>
        </w:rPr>
        <w:t xml:space="preserve">, </w:t>
      </w:r>
      <w:r w:rsidR="00841052" w:rsidRPr="008017BB">
        <w:rPr>
          <w:rFonts w:cstheme="minorHAnsi"/>
          <w:lang w:eastAsia="nl-NL"/>
        </w:rPr>
        <w:t xml:space="preserve">as well </w:t>
      </w:r>
      <w:r w:rsidRPr="008017BB">
        <w:rPr>
          <w:rFonts w:cstheme="minorHAnsi"/>
          <w:lang w:eastAsia="nl-NL"/>
        </w:rPr>
        <w:t xml:space="preserve">supporting communities in Yei, Morobo and Lainya to realize their respective development plans through Payam Development Grants, which are spent on projects that have been prioritized by the communities. The experience so far is positive, indicating that county councils and communities are using the development plans as a tool to direct spending priorities, guiding development partners, </w:t>
      </w:r>
      <w:r w:rsidR="00841052" w:rsidRPr="008017BB">
        <w:rPr>
          <w:rFonts w:cstheme="minorHAnsi"/>
          <w:lang w:eastAsia="nl-NL"/>
        </w:rPr>
        <w:t xml:space="preserve">and </w:t>
      </w:r>
      <w:r w:rsidRPr="008017BB">
        <w:rPr>
          <w:rFonts w:cstheme="minorHAnsi"/>
          <w:lang w:eastAsia="nl-NL"/>
        </w:rPr>
        <w:t>including the needs of minorities, monitor</w:t>
      </w:r>
      <w:r w:rsidR="00841052" w:rsidRPr="008017BB">
        <w:rPr>
          <w:rFonts w:cstheme="minorHAnsi"/>
          <w:lang w:eastAsia="nl-NL"/>
        </w:rPr>
        <w:t>ing</w:t>
      </w:r>
      <w:r w:rsidRPr="008017BB">
        <w:rPr>
          <w:rFonts w:cstheme="minorHAnsi"/>
          <w:lang w:eastAsia="nl-NL"/>
        </w:rPr>
        <w:t xml:space="preserve"> budgets and hold</w:t>
      </w:r>
      <w:r w:rsidR="00841052" w:rsidRPr="008017BB">
        <w:rPr>
          <w:rFonts w:cstheme="minorHAnsi"/>
          <w:lang w:eastAsia="nl-NL"/>
        </w:rPr>
        <w:t>ing</w:t>
      </w:r>
      <w:r w:rsidRPr="008017BB">
        <w:rPr>
          <w:rFonts w:cstheme="minorHAnsi"/>
          <w:lang w:eastAsia="nl-NL"/>
        </w:rPr>
        <w:t xml:space="preserve"> leaders to account.</w:t>
      </w:r>
    </w:p>
    <w:p w:rsidR="007203A0" w:rsidRPr="008017BB" w:rsidRDefault="007203A0" w:rsidP="00C210CA">
      <w:pPr>
        <w:spacing w:line="240" w:lineRule="auto"/>
        <w:jc w:val="both"/>
        <w:rPr>
          <w:rFonts w:cstheme="minorHAnsi"/>
          <w:b/>
        </w:rPr>
      </w:pPr>
      <w:r w:rsidRPr="008017BB">
        <w:rPr>
          <w:rFonts w:cstheme="minorHAnsi"/>
          <w:b/>
        </w:rPr>
        <w:t>Goal 5: Human rights defenders, activists and media practitioners are able to operate freely, securely, and can access protection from national, regional, and international bodies.</w:t>
      </w:r>
    </w:p>
    <w:p w:rsidR="007203A0" w:rsidRPr="008017BB" w:rsidRDefault="007203A0" w:rsidP="00C210CA">
      <w:pPr>
        <w:pStyle w:val="NoSpacing"/>
        <w:spacing w:after="200"/>
        <w:jc w:val="both"/>
        <w:rPr>
          <w:rFonts w:cstheme="minorHAnsi"/>
          <w:lang w:eastAsia="nl-NL"/>
        </w:rPr>
      </w:pPr>
      <w:r w:rsidRPr="008017BB">
        <w:rPr>
          <w:rFonts w:cstheme="minorHAnsi"/>
        </w:rPr>
        <w:t>Since the outbreak of conflict in December 2013, the government has pursued legislative reforms that increase government control over the NGO sector. The government drafted the NGO bill which large</w:t>
      </w:r>
      <w:r w:rsidR="00731E6E" w:rsidRPr="008017BB">
        <w:rPr>
          <w:rFonts w:cstheme="minorHAnsi"/>
        </w:rPr>
        <w:t>ly</w:t>
      </w:r>
      <w:r w:rsidRPr="008017BB">
        <w:rPr>
          <w:rFonts w:cstheme="minorHAnsi"/>
        </w:rPr>
        <w:t xml:space="preserve"> limits NGO work to voluntary and humanitarian work. It places criminal liabilities on any NGO </w:t>
      </w:r>
      <w:r w:rsidR="00731E6E" w:rsidRPr="008017BB">
        <w:rPr>
          <w:rFonts w:cstheme="minorHAnsi"/>
        </w:rPr>
        <w:t>“</w:t>
      </w:r>
      <w:r w:rsidRPr="008017BB">
        <w:rPr>
          <w:rFonts w:cstheme="minorHAnsi"/>
        </w:rPr>
        <w:t>signing</w:t>
      </w:r>
      <w:r w:rsidR="00731E6E" w:rsidRPr="008017BB">
        <w:rPr>
          <w:rFonts w:cstheme="minorHAnsi"/>
        </w:rPr>
        <w:t>”</w:t>
      </w:r>
      <w:r w:rsidRPr="008017BB">
        <w:rPr>
          <w:rFonts w:cstheme="minorHAnsi"/>
        </w:rPr>
        <w:t xml:space="preserve"> or uttering false statements or declarations in violation with any provisions of the bill. Despite civil society input into the bill, t</w:t>
      </w:r>
      <w:r w:rsidR="006317F2">
        <w:rPr>
          <w:rFonts w:cstheme="minorHAnsi"/>
        </w:rPr>
        <w:t xml:space="preserve">he Ministry of Justice </w:t>
      </w:r>
      <w:r w:rsidRPr="008017BB">
        <w:rPr>
          <w:rFonts w:cstheme="minorHAnsi"/>
        </w:rPr>
        <w:t xml:space="preserve">tabled the initial (wrong) copy to parliament. SSLS, South Sudan Women Empowerment (SSWEN), and the Union of Journalists for South Sudan (UJOSS) all </w:t>
      </w:r>
      <w:r w:rsidRPr="008017BB">
        <w:rPr>
          <w:rFonts w:cstheme="minorHAnsi"/>
          <w:lang w:eastAsia="nl-NL"/>
        </w:rPr>
        <w:t xml:space="preserve">OSIEA grantees are at the forefront of advocacy against the current NGO Bill. </w:t>
      </w:r>
    </w:p>
    <w:p w:rsidR="007203A0" w:rsidRPr="008017BB" w:rsidRDefault="006E69C9" w:rsidP="00C210CA">
      <w:pPr>
        <w:pStyle w:val="NoSpacing"/>
        <w:spacing w:after="200"/>
        <w:jc w:val="both"/>
        <w:rPr>
          <w:rFonts w:cstheme="minorHAnsi"/>
        </w:rPr>
      </w:pPr>
      <w:r>
        <w:rPr>
          <w:rFonts w:cstheme="minorHAnsi"/>
          <w:lang w:eastAsia="nl-NL"/>
        </w:rPr>
        <w:t>The N</w:t>
      </w:r>
      <w:r w:rsidR="007203A0" w:rsidRPr="008017BB">
        <w:rPr>
          <w:rFonts w:cstheme="minorHAnsi"/>
          <w:lang w:eastAsia="nl-NL"/>
        </w:rPr>
        <w:t xml:space="preserve">ational Security Bill was deliberately allowed to mature into law without the assent </w:t>
      </w:r>
      <w:r w:rsidR="006317F2">
        <w:rPr>
          <w:rFonts w:cstheme="minorHAnsi"/>
          <w:lang w:eastAsia="nl-NL"/>
        </w:rPr>
        <w:t>of the president</w:t>
      </w:r>
      <w:r w:rsidR="007203A0" w:rsidRPr="008017BB">
        <w:rPr>
          <w:rFonts w:cstheme="minorHAnsi"/>
          <w:lang w:eastAsia="nl-NL"/>
        </w:rPr>
        <w:t>. OSIEA supported a consultancy to analyze the c</w:t>
      </w:r>
      <w:r>
        <w:rPr>
          <w:rFonts w:cstheme="minorHAnsi"/>
          <w:lang w:eastAsia="nl-NL"/>
        </w:rPr>
        <w:t>onsistency of the Act with the C</w:t>
      </w:r>
      <w:r w:rsidR="007203A0" w:rsidRPr="008017BB">
        <w:rPr>
          <w:rFonts w:cstheme="minorHAnsi"/>
          <w:lang w:eastAsia="nl-NL"/>
        </w:rPr>
        <w:t xml:space="preserve">onstitution, other national laws and international treaties. The analysis informed subsequent advocacy efforts which </w:t>
      </w:r>
      <w:r w:rsidR="006317F2">
        <w:rPr>
          <w:rFonts w:cstheme="minorHAnsi"/>
          <w:lang w:eastAsia="nl-NL"/>
        </w:rPr>
        <w:t>prevented</w:t>
      </w:r>
      <w:r>
        <w:rPr>
          <w:rFonts w:cstheme="minorHAnsi"/>
          <w:lang w:eastAsia="nl-NL"/>
        </w:rPr>
        <w:t xml:space="preserve"> the A</w:t>
      </w:r>
      <w:r w:rsidR="007203A0" w:rsidRPr="008017BB">
        <w:rPr>
          <w:rFonts w:cstheme="minorHAnsi"/>
          <w:lang w:eastAsia="nl-NL"/>
        </w:rPr>
        <w:t xml:space="preserve">ct </w:t>
      </w:r>
      <w:r>
        <w:rPr>
          <w:rFonts w:cstheme="minorHAnsi"/>
          <w:lang w:eastAsia="nl-NL"/>
        </w:rPr>
        <w:t xml:space="preserve">from </w:t>
      </w:r>
      <w:r w:rsidR="007203A0" w:rsidRPr="008017BB">
        <w:rPr>
          <w:rFonts w:cstheme="minorHAnsi"/>
          <w:lang w:eastAsia="nl-NL"/>
        </w:rPr>
        <w:t xml:space="preserve">being published despite </w:t>
      </w:r>
      <w:r w:rsidR="00670EB3" w:rsidRPr="008017BB">
        <w:rPr>
          <w:rFonts w:cstheme="minorHAnsi"/>
          <w:lang w:eastAsia="nl-NL"/>
        </w:rPr>
        <w:t xml:space="preserve">the </w:t>
      </w:r>
      <w:r w:rsidR="007203A0" w:rsidRPr="008017BB">
        <w:rPr>
          <w:rFonts w:cstheme="minorHAnsi"/>
          <w:lang w:eastAsia="nl-NL"/>
        </w:rPr>
        <w:t xml:space="preserve">assent </w:t>
      </w:r>
      <w:r w:rsidR="00670EB3" w:rsidRPr="008017BB">
        <w:rPr>
          <w:rFonts w:cstheme="minorHAnsi"/>
          <w:lang w:eastAsia="nl-NL"/>
        </w:rPr>
        <w:t xml:space="preserve">of </w:t>
      </w:r>
      <w:r w:rsidR="007203A0" w:rsidRPr="008017BB">
        <w:rPr>
          <w:rFonts w:cstheme="minorHAnsi"/>
          <w:lang w:eastAsia="nl-NL"/>
        </w:rPr>
        <w:t xml:space="preserve">the president. However, there is selective implementation of the law by national security organs. </w:t>
      </w:r>
    </w:p>
    <w:p w:rsidR="007203A0" w:rsidRPr="008017BB" w:rsidRDefault="007203A0" w:rsidP="00C210CA">
      <w:pPr>
        <w:spacing w:line="240" w:lineRule="auto"/>
        <w:jc w:val="both"/>
        <w:rPr>
          <w:rFonts w:cstheme="minorHAnsi"/>
          <w:bCs/>
          <w:color w:val="000000"/>
        </w:rPr>
      </w:pPr>
      <w:r w:rsidRPr="008017BB">
        <w:rPr>
          <w:rFonts w:cstheme="minorHAnsi"/>
          <w:bCs/>
          <w:color w:val="000000"/>
        </w:rPr>
        <w:t xml:space="preserve">Press freedom in South Sudan has continued to deteriorate since independence in 2011 </w:t>
      </w:r>
      <w:r w:rsidR="006317F2">
        <w:rPr>
          <w:rFonts w:cstheme="minorHAnsi"/>
          <w:bCs/>
          <w:color w:val="000000"/>
        </w:rPr>
        <w:t xml:space="preserve">despite the enactment of </w:t>
      </w:r>
      <w:r w:rsidRPr="008017BB">
        <w:rPr>
          <w:rFonts w:cstheme="minorHAnsi"/>
          <w:bCs/>
          <w:color w:val="000000"/>
        </w:rPr>
        <w:t>media laws and the establishment of the Media Authority, Information Commission and the Broadcasting Authority. In 2015, several media outlets like Radio Ba</w:t>
      </w:r>
      <w:r w:rsidR="0054326B">
        <w:rPr>
          <w:rFonts w:cstheme="minorHAnsi"/>
          <w:bCs/>
          <w:color w:val="000000"/>
        </w:rPr>
        <w:t>k</w:t>
      </w:r>
      <w:r w:rsidRPr="008017BB">
        <w:rPr>
          <w:rFonts w:cstheme="minorHAnsi"/>
          <w:bCs/>
          <w:color w:val="000000"/>
        </w:rPr>
        <w:t xml:space="preserve">hita were shut down by </w:t>
      </w:r>
      <w:r w:rsidR="00670EB3" w:rsidRPr="008017BB">
        <w:rPr>
          <w:rFonts w:cstheme="minorHAnsi"/>
          <w:bCs/>
          <w:color w:val="000000"/>
        </w:rPr>
        <w:t xml:space="preserve">the </w:t>
      </w:r>
      <w:r w:rsidRPr="008017BB">
        <w:rPr>
          <w:rFonts w:cstheme="minorHAnsi"/>
          <w:bCs/>
          <w:color w:val="000000"/>
        </w:rPr>
        <w:t>government</w:t>
      </w:r>
      <w:r w:rsidR="00670EB3" w:rsidRPr="008017BB">
        <w:rPr>
          <w:rFonts w:cstheme="minorHAnsi"/>
          <w:bCs/>
          <w:color w:val="000000"/>
        </w:rPr>
        <w:t xml:space="preserve">. </w:t>
      </w:r>
      <w:r w:rsidRPr="008017BB">
        <w:rPr>
          <w:rFonts w:cstheme="minorHAnsi"/>
          <w:bCs/>
          <w:color w:val="000000"/>
        </w:rPr>
        <w:t>On 27 January 2015</w:t>
      </w:r>
      <w:r w:rsidR="00670EB3" w:rsidRPr="008017BB">
        <w:rPr>
          <w:rFonts w:cstheme="minorHAnsi"/>
          <w:bCs/>
          <w:color w:val="000000"/>
        </w:rPr>
        <w:t xml:space="preserve">, </w:t>
      </w:r>
      <w:r w:rsidRPr="008017BB">
        <w:rPr>
          <w:rFonts w:cstheme="minorHAnsi"/>
          <w:bCs/>
          <w:color w:val="000000"/>
        </w:rPr>
        <w:t>five journalists were killed by unidentified gunmen wh</w:t>
      </w:r>
      <w:r w:rsidR="0054326B">
        <w:rPr>
          <w:rFonts w:cstheme="minorHAnsi"/>
          <w:bCs/>
          <w:color w:val="000000"/>
        </w:rPr>
        <w:t>o ambushed their convoy in the W</w:t>
      </w:r>
      <w:r w:rsidRPr="008017BB">
        <w:rPr>
          <w:rFonts w:cstheme="minorHAnsi"/>
          <w:bCs/>
          <w:color w:val="000000"/>
        </w:rPr>
        <w:t xml:space="preserve">estern Bahr al Ghazal state. </w:t>
      </w:r>
    </w:p>
    <w:p w:rsidR="007203A0" w:rsidRPr="008017BB" w:rsidRDefault="0054326B" w:rsidP="00C210CA">
      <w:pPr>
        <w:spacing w:line="240" w:lineRule="auto"/>
        <w:jc w:val="both"/>
        <w:rPr>
          <w:rFonts w:cstheme="minorHAnsi"/>
          <w:lang w:eastAsia="nl-NL"/>
        </w:rPr>
      </w:pPr>
      <w:r>
        <w:rPr>
          <w:rFonts w:cstheme="minorHAnsi"/>
          <w:lang w:eastAsia="nl-NL"/>
        </w:rPr>
        <w:t>UJOSS profiled fifty one</w:t>
      </w:r>
      <w:r w:rsidR="007203A0" w:rsidRPr="008017BB">
        <w:rPr>
          <w:rFonts w:cstheme="minorHAnsi"/>
          <w:lang w:eastAsia="nl-NL"/>
        </w:rPr>
        <w:t xml:space="preserve"> cases involving the harassment, detention and death of journalists. Eight cases </w:t>
      </w:r>
      <w:r w:rsidR="00670EB3" w:rsidRPr="008017BB">
        <w:rPr>
          <w:rFonts w:cstheme="minorHAnsi"/>
          <w:lang w:eastAsia="nl-NL"/>
        </w:rPr>
        <w:t xml:space="preserve">involved </w:t>
      </w:r>
      <w:r w:rsidR="007203A0" w:rsidRPr="008017BB">
        <w:rPr>
          <w:rFonts w:cstheme="minorHAnsi"/>
          <w:lang w:eastAsia="nl-NL"/>
        </w:rPr>
        <w:t>fatalities including two female and six male journalists. UJOSS</w:t>
      </w:r>
      <w:r>
        <w:rPr>
          <w:rFonts w:cstheme="minorHAnsi"/>
          <w:lang w:eastAsia="nl-NL"/>
        </w:rPr>
        <w:t xml:space="preserve"> provided immediate support to five</w:t>
      </w:r>
      <w:r w:rsidR="007203A0" w:rsidRPr="008017BB">
        <w:rPr>
          <w:rFonts w:cstheme="minorHAnsi"/>
          <w:lang w:eastAsia="nl-NL"/>
        </w:rPr>
        <w:t xml:space="preserve"> journalists and referred others to region</w:t>
      </w:r>
      <w:r>
        <w:rPr>
          <w:rFonts w:cstheme="minorHAnsi"/>
          <w:lang w:eastAsia="nl-NL"/>
        </w:rPr>
        <w:t>al and international journalist</w:t>
      </w:r>
      <w:r w:rsidR="007203A0" w:rsidRPr="008017BB">
        <w:rPr>
          <w:rFonts w:cstheme="minorHAnsi"/>
          <w:lang w:eastAsia="nl-NL"/>
        </w:rPr>
        <w:t>s</w:t>
      </w:r>
      <w:r>
        <w:rPr>
          <w:rFonts w:cstheme="minorHAnsi"/>
          <w:lang w:eastAsia="nl-NL"/>
        </w:rPr>
        <w:t>’</w:t>
      </w:r>
      <w:r w:rsidR="007203A0" w:rsidRPr="008017BB">
        <w:rPr>
          <w:rFonts w:cstheme="minorHAnsi"/>
          <w:lang w:eastAsia="nl-NL"/>
        </w:rPr>
        <w:t xml:space="preserve"> bodies for protection. Advocacy and dialogue conducted by UJOSS and the Association for Media Development in South Sudan (AMDISS), an OSIEA grantee, helped raise awareness of journalists’ rights among security agents and helped to secure the release of detained journalists </w:t>
      </w:r>
      <w:r w:rsidR="002772DE" w:rsidRPr="008017BB">
        <w:rPr>
          <w:rFonts w:cstheme="minorHAnsi"/>
          <w:lang w:eastAsia="nl-NL"/>
        </w:rPr>
        <w:t xml:space="preserve">from </w:t>
      </w:r>
      <w:r w:rsidR="007203A0" w:rsidRPr="008017BB">
        <w:rPr>
          <w:rFonts w:cstheme="minorHAnsi"/>
          <w:lang w:eastAsia="nl-NL"/>
        </w:rPr>
        <w:t xml:space="preserve">the </w:t>
      </w:r>
      <w:r w:rsidR="007203A0" w:rsidRPr="0054326B">
        <w:rPr>
          <w:rFonts w:cstheme="minorHAnsi"/>
          <w:lang w:eastAsia="nl-NL"/>
        </w:rPr>
        <w:t>Juba Monitor</w:t>
      </w:r>
      <w:r w:rsidR="007203A0" w:rsidRPr="008017BB">
        <w:rPr>
          <w:rFonts w:cstheme="minorHAnsi"/>
          <w:i/>
          <w:lang w:eastAsia="nl-NL"/>
        </w:rPr>
        <w:t xml:space="preserve"> </w:t>
      </w:r>
      <w:r w:rsidR="007203A0" w:rsidRPr="008017BB">
        <w:rPr>
          <w:rFonts w:cstheme="minorHAnsi"/>
          <w:lang w:eastAsia="nl-NL"/>
        </w:rPr>
        <w:t>newspaper</w:t>
      </w:r>
      <w:r w:rsidR="002772DE" w:rsidRPr="008017BB">
        <w:rPr>
          <w:rFonts w:cstheme="minorHAnsi"/>
          <w:lang w:eastAsia="nl-NL"/>
        </w:rPr>
        <w:t xml:space="preserve"> and facilitated</w:t>
      </w:r>
      <w:r w:rsidR="006317F2">
        <w:rPr>
          <w:rFonts w:cstheme="minorHAnsi"/>
          <w:lang w:eastAsia="nl-NL"/>
        </w:rPr>
        <w:t xml:space="preserve"> </w:t>
      </w:r>
      <w:r w:rsidR="007203A0" w:rsidRPr="008017BB">
        <w:rPr>
          <w:rFonts w:cstheme="minorHAnsi"/>
          <w:lang w:eastAsia="nl-NL"/>
        </w:rPr>
        <w:t>dialogue with national security agents on the closure of the</w:t>
      </w:r>
      <w:r w:rsidR="007203A0" w:rsidRPr="008017BB">
        <w:rPr>
          <w:rFonts w:cstheme="minorHAnsi"/>
          <w:i/>
          <w:lang w:eastAsia="nl-NL"/>
        </w:rPr>
        <w:t xml:space="preserve"> </w:t>
      </w:r>
      <w:r>
        <w:rPr>
          <w:rFonts w:cstheme="minorHAnsi"/>
          <w:lang w:eastAsia="nl-NL"/>
        </w:rPr>
        <w:t>Citizen n</w:t>
      </w:r>
      <w:r w:rsidR="007203A0" w:rsidRPr="0054326B">
        <w:rPr>
          <w:rFonts w:cstheme="minorHAnsi"/>
          <w:lang w:eastAsia="nl-NL"/>
        </w:rPr>
        <w:t>ewspaper and Free Voice</w:t>
      </w:r>
      <w:r w:rsidR="007203A0" w:rsidRPr="008017BB">
        <w:rPr>
          <w:rFonts w:cstheme="minorHAnsi"/>
          <w:lang w:eastAsia="nl-NL"/>
        </w:rPr>
        <w:t xml:space="preserve">. UJOSS demonstrated increased capacity to monitor such cases and built its referral network.  This was possible with support from OSIEA and </w:t>
      </w:r>
      <w:r>
        <w:rPr>
          <w:rFonts w:cstheme="minorHAnsi"/>
          <w:lang w:eastAsia="nl-NL"/>
        </w:rPr>
        <w:t>OSF’s</w:t>
      </w:r>
      <w:r w:rsidR="007203A0" w:rsidRPr="008017BB">
        <w:rPr>
          <w:rFonts w:cstheme="minorHAnsi"/>
          <w:lang w:eastAsia="nl-NL"/>
        </w:rPr>
        <w:t xml:space="preserve"> Program on Independent Journalism (PIJ) that supported the implementation of recommendations made by the East and Horn of Africa Human Rights Defenders Project (EHAHRDP) on how grantees should mitigate security risks. All UJOSS personnel were facilitated to attend training on physical and digital security management and supported to implement </w:t>
      </w:r>
      <w:r w:rsidR="002772DE" w:rsidRPr="008017BB">
        <w:rPr>
          <w:rFonts w:cstheme="minorHAnsi"/>
          <w:lang w:eastAsia="nl-NL"/>
        </w:rPr>
        <w:t xml:space="preserve">changes </w:t>
      </w:r>
      <w:r w:rsidR="007203A0" w:rsidRPr="008017BB">
        <w:rPr>
          <w:rFonts w:cstheme="minorHAnsi"/>
          <w:lang w:eastAsia="nl-NL"/>
        </w:rPr>
        <w:t xml:space="preserve">in the organization. An exchange visit between </w:t>
      </w:r>
      <w:r w:rsidR="001317EE">
        <w:rPr>
          <w:rFonts w:cstheme="minorHAnsi"/>
          <w:lang w:eastAsia="nl-NL"/>
        </w:rPr>
        <w:t>U</w:t>
      </w:r>
      <w:r w:rsidR="007203A0" w:rsidRPr="008017BB">
        <w:rPr>
          <w:rFonts w:cstheme="minorHAnsi"/>
          <w:lang w:eastAsia="nl-NL"/>
        </w:rPr>
        <w:t xml:space="preserve">JOSS and Human Rights Network for Journalists </w:t>
      </w:r>
      <w:r w:rsidR="00AB027D">
        <w:rPr>
          <w:rFonts w:cstheme="minorHAnsi"/>
          <w:lang w:eastAsia="nl-NL"/>
        </w:rPr>
        <w:t>(</w:t>
      </w:r>
      <w:r w:rsidR="00AB027D" w:rsidRPr="008017BB">
        <w:rPr>
          <w:rFonts w:cstheme="minorHAnsi"/>
          <w:lang w:eastAsia="nl-NL"/>
        </w:rPr>
        <w:t>HRNJ</w:t>
      </w:r>
      <w:r w:rsidR="00AB027D">
        <w:rPr>
          <w:rFonts w:cstheme="minorHAnsi"/>
          <w:lang w:eastAsia="nl-NL"/>
        </w:rPr>
        <w:t>)</w:t>
      </w:r>
      <w:r w:rsidR="00AB027D" w:rsidRPr="008017BB">
        <w:rPr>
          <w:rFonts w:cstheme="minorHAnsi"/>
          <w:lang w:eastAsia="nl-NL"/>
        </w:rPr>
        <w:t xml:space="preserve"> </w:t>
      </w:r>
      <w:r w:rsidR="007203A0" w:rsidRPr="008017BB">
        <w:rPr>
          <w:rFonts w:cstheme="minorHAnsi"/>
          <w:lang w:eastAsia="nl-NL"/>
        </w:rPr>
        <w:t xml:space="preserve">in Uganda was organized to support </w:t>
      </w:r>
      <w:r w:rsidR="006317F2">
        <w:rPr>
          <w:rFonts w:cstheme="minorHAnsi"/>
          <w:lang w:eastAsia="nl-NL"/>
        </w:rPr>
        <w:t xml:space="preserve">the </w:t>
      </w:r>
      <w:r w:rsidR="007203A0" w:rsidRPr="008017BB">
        <w:rPr>
          <w:rFonts w:cstheme="minorHAnsi"/>
          <w:lang w:eastAsia="nl-NL"/>
        </w:rPr>
        <w:t>sharing of experience</w:t>
      </w:r>
      <w:r w:rsidR="001317EE">
        <w:rPr>
          <w:rFonts w:cstheme="minorHAnsi"/>
          <w:lang w:eastAsia="nl-NL"/>
        </w:rPr>
        <w:t>s</w:t>
      </w:r>
      <w:r w:rsidR="007203A0" w:rsidRPr="008017BB">
        <w:rPr>
          <w:rFonts w:cstheme="minorHAnsi"/>
          <w:lang w:eastAsia="nl-NL"/>
        </w:rPr>
        <w:t xml:space="preserve"> on the documentation and protection of information generated on the abuses of the rights of journalists. It is hoped that this will improve documentation and safeguard the organization from unnecessary exposure of information.</w:t>
      </w:r>
    </w:p>
    <w:p w:rsidR="007203A0" w:rsidRPr="008017BB" w:rsidRDefault="007203A0" w:rsidP="00C210CA">
      <w:pPr>
        <w:tabs>
          <w:tab w:val="num" w:pos="720"/>
        </w:tabs>
        <w:spacing w:line="240" w:lineRule="auto"/>
        <w:jc w:val="both"/>
        <w:rPr>
          <w:rFonts w:cstheme="minorHAnsi"/>
        </w:rPr>
      </w:pPr>
      <w:r w:rsidRPr="008017BB">
        <w:rPr>
          <w:rFonts w:cstheme="minorHAnsi"/>
        </w:rPr>
        <w:lastRenderedPageBreak/>
        <w:t xml:space="preserve">SSLS in collaboration with Amnesty International trained </w:t>
      </w:r>
      <w:r w:rsidR="001317EE">
        <w:rPr>
          <w:rFonts w:cstheme="minorHAnsi"/>
        </w:rPr>
        <w:t>twenty two</w:t>
      </w:r>
      <w:r w:rsidRPr="008017BB">
        <w:rPr>
          <w:rFonts w:cstheme="minorHAnsi"/>
        </w:rPr>
        <w:t xml:space="preserve"> human rights </w:t>
      </w:r>
      <w:r w:rsidR="006317F2">
        <w:rPr>
          <w:rFonts w:cstheme="minorHAnsi"/>
        </w:rPr>
        <w:t xml:space="preserve">activists </w:t>
      </w:r>
      <w:r w:rsidRPr="008017BB">
        <w:rPr>
          <w:rFonts w:cstheme="minorHAnsi"/>
        </w:rPr>
        <w:t xml:space="preserve">on monitoring and documentation of human rights abuses and </w:t>
      </w:r>
      <w:r w:rsidR="002772DE" w:rsidRPr="008017BB">
        <w:rPr>
          <w:rFonts w:cstheme="minorHAnsi"/>
        </w:rPr>
        <w:t xml:space="preserve">the </w:t>
      </w:r>
      <w:r w:rsidRPr="008017BB">
        <w:rPr>
          <w:rFonts w:cstheme="minorHAnsi"/>
        </w:rPr>
        <w:t>situation in South Sudan. Reports from the monitors will be validated and updated to inform the shadow report fo</w:t>
      </w:r>
      <w:r w:rsidR="001317EE">
        <w:rPr>
          <w:rFonts w:cstheme="minorHAnsi"/>
        </w:rPr>
        <w:t xml:space="preserve">r the Universal Periodic Review </w:t>
      </w:r>
      <w:r w:rsidRPr="008017BB">
        <w:rPr>
          <w:rFonts w:cstheme="minorHAnsi"/>
        </w:rPr>
        <w:t xml:space="preserve">at the Human Rights Council convening in April 2016 in Geneva. This is first time South Sudanese civil society will present a shadow report and participate from the floor of the house.  </w:t>
      </w:r>
    </w:p>
    <w:p w:rsidR="007203A0" w:rsidRPr="008017BB" w:rsidRDefault="007203A0" w:rsidP="00C210CA">
      <w:pPr>
        <w:spacing w:line="240" w:lineRule="auto"/>
        <w:jc w:val="both"/>
        <w:rPr>
          <w:rFonts w:cstheme="minorHAnsi"/>
        </w:rPr>
      </w:pPr>
      <w:r w:rsidRPr="008017BB">
        <w:rPr>
          <w:rFonts w:cstheme="minorHAnsi"/>
          <w:lang w:eastAsia="nl-NL"/>
        </w:rPr>
        <w:t>Human rights defenders, activists and media practitioners at risk of harassment in South Sudan continued to access protection service</w:t>
      </w:r>
      <w:r w:rsidR="006317F2">
        <w:rPr>
          <w:rFonts w:cstheme="minorHAnsi"/>
          <w:lang w:eastAsia="nl-NL"/>
        </w:rPr>
        <w:t>s</w:t>
      </w:r>
      <w:r w:rsidRPr="008017BB">
        <w:rPr>
          <w:rFonts w:cstheme="minorHAnsi"/>
          <w:lang w:eastAsia="nl-NL"/>
        </w:rPr>
        <w:t xml:space="preserve"> and security advice from EHAHRDP. Three individu</w:t>
      </w:r>
      <w:r w:rsidR="001317EE">
        <w:rPr>
          <w:rFonts w:cstheme="minorHAnsi"/>
          <w:lang w:eastAsia="nl-NL"/>
        </w:rPr>
        <w:t>als were supported for two to twelve</w:t>
      </w:r>
      <w:r w:rsidRPr="008017BB">
        <w:rPr>
          <w:rFonts w:cstheme="minorHAnsi"/>
          <w:lang w:eastAsia="nl-NL"/>
        </w:rPr>
        <w:t xml:space="preserve"> months. This facility remains vital for human rights defenders in the country as the civic space continues to shrink and defenders and activists remain at risk of harassment. </w:t>
      </w:r>
      <w:r w:rsidRPr="008017BB">
        <w:rPr>
          <w:rFonts w:cstheme="minorHAnsi"/>
          <w:color w:val="000000"/>
        </w:rPr>
        <w:t xml:space="preserve">Funds under these grants have made it possible for defenders to continue the work of reporting and advocating for respect of all. It made it possible for defenders to stay safe and in some instances allowed for capacity development when it </w:t>
      </w:r>
      <w:r w:rsidR="003061A7" w:rsidRPr="008017BB">
        <w:rPr>
          <w:rFonts w:cstheme="minorHAnsi"/>
          <w:color w:val="000000"/>
        </w:rPr>
        <w:t>was</w:t>
      </w:r>
      <w:r w:rsidRPr="008017BB">
        <w:rPr>
          <w:rFonts w:cstheme="minorHAnsi"/>
          <w:color w:val="000000"/>
        </w:rPr>
        <w:t xml:space="preserve"> not possible to return home and work.</w:t>
      </w:r>
      <w:r w:rsidR="001317EE">
        <w:rPr>
          <w:rFonts w:cstheme="minorHAnsi"/>
        </w:rPr>
        <w:t xml:space="preserve"> </w:t>
      </w:r>
      <w:r w:rsidR="003061A7" w:rsidRPr="008017BB">
        <w:rPr>
          <w:rFonts w:cstheme="minorHAnsi"/>
          <w:lang w:eastAsia="nl-NL"/>
        </w:rPr>
        <w:t>A s</w:t>
      </w:r>
      <w:r w:rsidRPr="008017BB">
        <w:rPr>
          <w:rFonts w:cstheme="minorHAnsi"/>
          <w:lang w:eastAsia="nl-NL"/>
        </w:rPr>
        <w:t xml:space="preserve">imilar facility exists at UJOSS for journalists who are under threat </w:t>
      </w:r>
      <w:r w:rsidR="003061A7" w:rsidRPr="008017BB">
        <w:rPr>
          <w:rFonts w:cstheme="minorHAnsi"/>
          <w:lang w:eastAsia="nl-NL"/>
        </w:rPr>
        <w:t xml:space="preserve">from the state </w:t>
      </w:r>
      <w:r w:rsidRPr="008017BB">
        <w:rPr>
          <w:rFonts w:cstheme="minorHAnsi"/>
          <w:lang w:eastAsia="nl-NL"/>
        </w:rPr>
        <w:t xml:space="preserve">and </w:t>
      </w:r>
      <w:r w:rsidR="003061A7" w:rsidRPr="008017BB">
        <w:rPr>
          <w:rFonts w:cstheme="minorHAnsi"/>
          <w:lang w:eastAsia="nl-NL"/>
        </w:rPr>
        <w:t xml:space="preserve">are unable </w:t>
      </w:r>
      <w:r w:rsidRPr="008017BB">
        <w:rPr>
          <w:rFonts w:cstheme="minorHAnsi"/>
          <w:lang w:eastAsia="nl-NL"/>
        </w:rPr>
        <w:t>to get out of the country. This facility includes meeting legal fees in case a law</w:t>
      </w:r>
      <w:r w:rsidR="003061A7" w:rsidRPr="008017BB">
        <w:rPr>
          <w:rFonts w:cstheme="minorHAnsi"/>
          <w:lang w:eastAsia="nl-NL"/>
        </w:rPr>
        <w:t>s</w:t>
      </w:r>
      <w:r w:rsidRPr="008017BB">
        <w:rPr>
          <w:rFonts w:cstheme="minorHAnsi"/>
          <w:lang w:eastAsia="nl-NL"/>
        </w:rPr>
        <w:t xml:space="preserve">uit was instituted against a journalist. </w:t>
      </w:r>
    </w:p>
    <w:p w:rsidR="007203A0" w:rsidRPr="008017BB" w:rsidRDefault="007203A0" w:rsidP="00C210CA">
      <w:pPr>
        <w:spacing w:line="240" w:lineRule="auto"/>
        <w:jc w:val="both"/>
        <w:outlineLvl w:val="0"/>
        <w:rPr>
          <w:rFonts w:cstheme="minorHAnsi"/>
          <w:b/>
          <w:color w:val="726056" w:themeColor="accent2"/>
        </w:rPr>
      </w:pPr>
      <w:bookmarkStart w:id="1" w:name="_Toc414303961"/>
      <w:bookmarkStart w:id="2" w:name="_Toc414305516"/>
      <w:r w:rsidRPr="008017BB">
        <w:rPr>
          <w:rFonts w:cstheme="minorHAnsi"/>
          <w:b/>
        </w:rPr>
        <w:t>Goal 6: State institutions are reformed and strengthened to respond to and guarantee human rights, particularly the rights of women and girls.</w:t>
      </w:r>
      <w:bookmarkEnd w:id="1"/>
      <w:bookmarkEnd w:id="2"/>
    </w:p>
    <w:p w:rsidR="007203A0" w:rsidRPr="008017BB" w:rsidRDefault="007203A0" w:rsidP="00C210CA">
      <w:pPr>
        <w:pStyle w:val="Default"/>
        <w:spacing w:after="200"/>
        <w:jc w:val="both"/>
        <w:rPr>
          <w:rFonts w:asciiTheme="minorHAnsi" w:hAnsiTheme="minorHAnsi" w:cstheme="minorHAnsi"/>
          <w:color w:val="auto"/>
          <w:sz w:val="22"/>
          <w:szCs w:val="22"/>
        </w:rPr>
      </w:pPr>
      <w:r w:rsidRPr="008017BB">
        <w:rPr>
          <w:rFonts w:asciiTheme="minorHAnsi" w:hAnsiTheme="minorHAnsi" w:cstheme="minorHAnsi"/>
          <w:color w:val="auto"/>
          <w:sz w:val="22"/>
          <w:szCs w:val="22"/>
        </w:rPr>
        <w:t>Sexual violence is a major concern for South Sudanese women and girls. With minimal education, high unemployment and little say in community decision-making, male youth are being further militarized and female youth are being pushed away from public to domestic spaces, mak</w:t>
      </w:r>
      <w:r w:rsidR="006317F2">
        <w:rPr>
          <w:rFonts w:asciiTheme="minorHAnsi" w:hAnsiTheme="minorHAnsi" w:cstheme="minorHAnsi"/>
          <w:color w:val="auto"/>
          <w:sz w:val="22"/>
          <w:szCs w:val="22"/>
        </w:rPr>
        <w:t xml:space="preserve">ing them increasingly prone to </w:t>
      </w:r>
      <w:r w:rsidRPr="008017BB">
        <w:rPr>
          <w:rFonts w:asciiTheme="minorHAnsi" w:hAnsiTheme="minorHAnsi" w:cstheme="minorHAnsi"/>
          <w:color w:val="auto"/>
          <w:sz w:val="22"/>
          <w:szCs w:val="22"/>
        </w:rPr>
        <w:t xml:space="preserve">violence. OSIEA grantee, the Strategic Initiative for Women in the Horn of Africa (SIHA) is influencing social attitudes in Wau County and </w:t>
      </w:r>
      <w:r w:rsidR="003061A7" w:rsidRPr="008017BB">
        <w:rPr>
          <w:rFonts w:asciiTheme="minorHAnsi" w:hAnsiTheme="minorHAnsi" w:cstheme="minorHAnsi"/>
          <w:color w:val="auto"/>
          <w:sz w:val="22"/>
          <w:szCs w:val="22"/>
        </w:rPr>
        <w:t xml:space="preserve">the </w:t>
      </w:r>
      <w:r w:rsidRPr="008017BB">
        <w:rPr>
          <w:rFonts w:asciiTheme="minorHAnsi" w:hAnsiTheme="minorHAnsi" w:cstheme="minorHAnsi"/>
          <w:color w:val="auto"/>
          <w:sz w:val="22"/>
          <w:szCs w:val="22"/>
        </w:rPr>
        <w:t>Western Bahr El Ghazal state, towards protecting women’s rights, as well as sensitizing traditional institutions on this issue. SIHA</w:t>
      </w:r>
      <w:r w:rsidR="001317EE">
        <w:rPr>
          <w:rFonts w:asciiTheme="minorHAnsi" w:hAnsiTheme="minorHAnsi" w:cstheme="minorHAnsi"/>
          <w:color w:val="auto"/>
          <w:sz w:val="22"/>
          <w:szCs w:val="22"/>
        </w:rPr>
        <w:t>,</w:t>
      </w:r>
      <w:r w:rsidRPr="008017BB">
        <w:rPr>
          <w:rFonts w:asciiTheme="minorHAnsi" w:hAnsiTheme="minorHAnsi" w:cstheme="minorHAnsi"/>
          <w:color w:val="auto"/>
          <w:sz w:val="22"/>
          <w:szCs w:val="22"/>
        </w:rPr>
        <w:t xml:space="preserve"> through its project ‘Building Universality from Below’ implemented a civic education init</w:t>
      </w:r>
      <w:r w:rsidR="001317EE">
        <w:rPr>
          <w:rFonts w:asciiTheme="minorHAnsi" w:hAnsiTheme="minorHAnsi" w:cstheme="minorHAnsi"/>
          <w:color w:val="auto"/>
          <w:sz w:val="22"/>
          <w:szCs w:val="22"/>
        </w:rPr>
        <w:t xml:space="preserve">iative in South Sudan focused </w:t>
      </w:r>
      <w:r w:rsidRPr="008017BB">
        <w:rPr>
          <w:rFonts w:asciiTheme="minorHAnsi" w:hAnsiTheme="minorHAnsi" w:cstheme="minorHAnsi"/>
          <w:color w:val="auto"/>
          <w:sz w:val="22"/>
          <w:szCs w:val="22"/>
        </w:rPr>
        <w:t>on the inadequacies of the parallel statutory and customary legal systems and the consequent human rights violations against women. The program also sought to increase community awareness of and adherence to women’s human rights norms, seeking to make progress at minimizing violations. The program made contributions to Western Bahr El Ghazal ending victimization of women in the community, both a</w:t>
      </w:r>
      <w:r w:rsidR="00ED5BBB">
        <w:rPr>
          <w:rFonts w:asciiTheme="minorHAnsi" w:hAnsiTheme="minorHAnsi" w:cstheme="minorHAnsi"/>
          <w:color w:val="auto"/>
          <w:sz w:val="22"/>
          <w:szCs w:val="22"/>
        </w:rPr>
        <w:t>t the judicial and correctional</w:t>
      </w:r>
      <w:r w:rsidRPr="008017BB">
        <w:rPr>
          <w:rFonts w:asciiTheme="minorHAnsi" w:hAnsiTheme="minorHAnsi" w:cstheme="minorHAnsi"/>
          <w:color w:val="auto"/>
          <w:sz w:val="22"/>
          <w:szCs w:val="22"/>
        </w:rPr>
        <w:t>/penal levels and serves as a model to other states with similar challenges. Th</w:t>
      </w:r>
      <w:r w:rsidR="00ED5BBB">
        <w:rPr>
          <w:rFonts w:asciiTheme="minorHAnsi" w:hAnsiTheme="minorHAnsi" w:cstheme="minorHAnsi"/>
          <w:color w:val="auto"/>
          <w:sz w:val="22"/>
          <w:szCs w:val="22"/>
        </w:rPr>
        <w:t>e project developed a cadre of community m</w:t>
      </w:r>
      <w:r w:rsidRPr="008017BB">
        <w:rPr>
          <w:rFonts w:asciiTheme="minorHAnsi" w:hAnsiTheme="minorHAnsi" w:cstheme="minorHAnsi"/>
          <w:color w:val="auto"/>
          <w:sz w:val="22"/>
          <w:szCs w:val="22"/>
        </w:rPr>
        <w:t>ediators capable of supporting women and settling community disputes in line with women’s and human rights standards. Key activities focused on building the capacity of women-</w:t>
      </w:r>
      <w:r w:rsidR="00B627CD">
        <w:rPr>
          <w:rFonts w:asciiTheme="minorHAnsi" w:hAnsiTheme="minorHAnsi" w:cstheme="minorHAnsi"/>
          <w:color w:val="auto"/>
          <w:sz w:val="22"/>
          <w:szCs w:val="22"/>
        </w:rPr>
        <w:t xml:space="preserve">led </w:t>
      </w:r>
      <w:r w:rsidRPr="008017BB">
        <w:rPr>
          <w:rFonts w:asciiTheme="minorHAnsi" w:hAnsiTheme="minorHAnsi" w:cstheme="minorHAnsi"/>
          <w:color w:val="auto"/>
          <w:sz w:val="22"/>
          <w:szCs w:val="22"/>
        </w:rPr>
        <w:t>CSOs in Wau</w:t>
      </w:r>
      <w:r w:rsidR="00B627CD">
        <w:rPr>
          <w:rFonts w:asciiTheme="minorHAnsi" w:hAnsiTheme="minorHAnsi" w:cstheme="minorHAnsi"/>
          <w:color w:val="auto"/>
          <w:sz w:val="22"/>
          <w:szCs w:val="22"/>
        </w:rPr>
        <w:t>;</w:t>
      </w:r>
      <w:r w:rsidRPr="008017BB">
        <w:rPr>
          <w:rFonts w:asciiTheme="minorHAnsi" w:hAnsiTheme="minorHAnsi" w:cstheme="minorHAnsi"/>
          <w:color w:val="auto"/>
          <w:sz w:val="22"/>
          <w:szCs w:val="22"/>
        </w:rPr>
        <w:t xml:space="preserve"> extending support to women victims of right</w:t>
      </w:r>
      <w:r w:rsidR="003061A7" w:rsidRPr="008017BB">
        <w:rPr>
          <w:rFonts w:asciiTheme="minorHAnsi" w:hAnsiTheme="minorHAnsi" w:cstheme="minorHAnsi"/>
          <w:color w:val="auto"/>
          <w:sz w:val="22"/>
          <w:szCs w:val="22"/>
        </w:rPr>
        <w:t>s’</w:t>
      </w:r>
      <w:r w:rsidRPr="008017BB">
        <w:rPr>
          <w:rFonts w:asciiTheme="minorHAnsi" w:hAnsiTheme="minorHAnsi" w:cstheme="minorHAnsi"/>
          <w:color w:val="auto"/>
          <w:sz w:val="22"/>
          <w:szCs w:val="22"/>
        </w:rPr>
        <w:t xml:space="preserve"> violations and connecting them with parties capable of providing assistance</w:t>
      </w:r>
      <w:r w:rsidR="00B627CD">
        <w:rPr>
          <w:rFonts w:asciiTheme="minorHAnsi" w:hAnsiTheme="minorHAnsi" w:cstheme="minorHAnsi"/>
          <w:color w:val="auto"/>
          <w:sz w:val="22"/>
          <w:szCs w:val="22"/>
        </w:rPr>
        <w:t>;</w:t>
      </w:r>
      <w:r w:rsidRPr="008017BB">
        <w:rPr>
          <w:rFonts w:asciiTheme="minorHAnsi" w:hAnsiTheme="minorHAnsi" w:cstheme="minorHAnsi"/>
          <w:color w:val="auto"/>
          <w:sz w:val="22"/>
          <w:szCs w:val="22"/>
        </w:rPr>
        <w:t xml:space="preserve"> extensive training </w:t>
      </w:r>
      <w:r w:rsidR="00B627CD">
        <w:rPr>
          <w:rFonts w:asciiTheme="minorHAnsi" w:hAnsiTheme="minorHAnsi" w:cstheme="minorHAnsi"/>
          <w:color w:val="auto"/>
          <w:sz w:val="22"/>
          <w:szCs w:val="22"/>
        </w:rPr>
        <w:t>and outreach to males and youth,</w:t>
      </w:r>
      <w:r w:rsidRPr="008017BB">
        <w:rPr>
          <w:rFonts w:asciiTheme="minorHAnsi" w:hAnsiTheme="minorHAnsi" w:cstheme="minorHAnsi"/>
          <w:color w:val="auto"/>
          <w:sz w:val="22"/>
          <w:szCs w:val="22"/>
        </w:rPr>
        <w:t xml:space="preserve"> empowering them to advocate for women’s rig</w:t>
      </w:r>
      <w:r w:rsidR="00E6064C">
        <w:rPr>
          <w:rFonts w:asciiTheme="minorHAnsi" w:hAnsiTheme="minorHAnsi" w:cstheme="minorHAnsi"/>
          <w:color w:val="auto"/>
          <w:sz w:val="22"/>
          <w:szCs w:val="22"/>
        </w:rPr>
        <w:t>hts particularly those jailed through</w:t>
      </w:r>
      <w:r w:rsidRPr="008017BB">
        <w:rPr>
          <w:rFonts w:asciiTheme="minorHAnsi" w:hAnsiTheme="minorHAnsi" w:cstheme="minorHAnsi"/>
          <w:color w:val="auto"/>
          <w:sz w:val="22"/>
          <w:szCs w:val="22"/>
        </w:rPr>
        <w:t xml:space="preserve"> no</w:t>
      </w:r>
      <w:r w:rsidR="00B627CD">
        <w:rPr>
          <w:rFonts w:asciiTheme="minorHAnsi" w:hAnsiTheme="minorHAnsi" w:cstheme="minorHAnsi"/>
          <w:color w:val="auto"/>
          <w:sz w:val="22"/>
          <w:szCs w:val="22"/>
        </w:rPr>
        <w:t>n-transparent or unjust rulings;</w:t>
      </w:r>
      <w:r w:rsidRPr="008017BB">
        <w:rPr>
          <w:rFonts w:asciiTheme="minorHAnsi" w:hAnsiTheme="minorHAnsi" w:cstheme="minorHAnsi"/>
          <w:color w:val="auto"/>
          <w:sz w:val="22"/>
          <w:szCs w:val="22"/>
        </w:rPr>
        <w:t xml:space="preserve"> and broadening knowledge and awareness in the community for women’s rights and their protection.</w:t>
      </w:r>
    </w:p>
    <w:p w:rsidR="007203A0" w:rsidRPr="008017BB" w:rsidRDefault="007203A0" w:rsidP="00C210CA">
      <w:pPr>
        <w:pStyle w:val="NoSpacing"/>
        <w:spacing w:after="200"/>
        <w:jc w:val="both"/>
        <w:rPr>
          <w:rFonts w:cstheme="minorHAnsi"/>
        </w:rPr>
      </w:pPr>
      <w:r w:rsidRPr="008017BB">
        <w:rPr>
          <w:rFonts w:cstheme="minorHAnsi"/>
        </w:rPr>
        <w:t xml:space="preserve">A grant to Manna Development Agency (MADA) brought to the fore the plight of women, especially the use of the girl child for human compensation, and profiled </w:t>
      </w:r>
      <w:r w:rsidR="00B627CD">
        <w:rPr>
          <w:rFonts w:cstheme="minorHAnsi"/>
        </w:rPr>
        <w:t>fifty two</w:t>
      </w:r>
      <w:r w:rsidRPr="008017BB">
        <w:rPr>
          <w:rFonts w:cstheme="minorHAnsi"/>
        </w:rPr>
        <w:t xml:space="preserve"> cases during the ye</w:t>
      </w:r>
      <w:r w:rsidR="00B627CD">
        <w:rPr>
          <w:rFonts w:cstheme="minorHAnsi"/>
        </w:rPr>
        <w:t>ar. They were able to document twenty six</w:t>
      </w:r>
      <w:r w:rsidRPr="008017BB">
        <w:rPr>
          <w:rFonts w:cstheme="minorHAnsi"/>
        </w:rPr>
        <w:t xml:space="preserve"> cases of gender-based v</w:t>
      </w:r>
      <w:r w:rsidR="00E6064C">
        <w:rPr>
          <w:rFonts w:cstheme="minorHAnsi"/>
        </w:rPr>
        <w:t xml:space="preserve">iolence in their area of operation </w:t>
      </w:r>
      <w:r w:rsidRPr="008017BB">
        <w:rPr>
          <w:rFonts w:cstheme="minorHAnsi"/>
        </w:rPr>
        <w:t>in Eastern Equatoria. MADA also established a working relationship with the South Sudan Human Rights Commission</w:t>
      </w:r>
      <w:r w:rsidR="00B627CD">
        <w:rPr>
          <w:rFonts w:cstheme="minorHAnsi"/>
        </w:rPr>
        <w:t xml:space="preserve"> (SSHRC)</w:t>
      </w:r>
      <w:r w:rsidRPr="008017BB">
        <w:rPr>
          <w:rFonts w:cstheme="minorHAnsi"/>
        </w:rPr>
        <w:t xml:space="preserve"> in an effort to promote and protect women’s rights in the state.</w:t>
      </w:r>
    </w:p>
    <w:p w:rsidR="007203A0" w:rsidRPr="008017BB" w:rsidRDefault="007203A0" w:rsidP="00C210CA">
      <w:pPr>
        <w:pStyle w:val="NoSpacing"/>
        <w:spacing w:after="200"/>
        <w:jc w:val="both"/>
        <w:rPr>
          <w:rFonts w:cstheme="minorHAnsi"/>
        </w:rPr>
      </w:pPr>
      <w:r w:rsidRPr="008017BB">
        <w:rPr>
          <w:rFonts w:cstheme="minorHAnsi"/>
        </w:rPr>
        <w:t>A grant to Justice Foundation Organization (JFO) has help</w:t>
      </w:r>
      <w:r w:rsidR="003061A7" w:rsidRPr="008017BB">
        <w:rPr>
          <w:rFonts w:cstheme="minorHAnsi"/>
        </w:rPr>
        <w:t>ed</w:t>
      </w:r>
      <w:r w:rsidRPr="008017BB">
        <w:rPr>
          <w:rFonts w:cstheme="minorHAnsi"/>
        </w:rPr>
        <w:t xml:space="preserve"> women</w:t>
      </w:r>
      <w:r w:rsidR="00E6064C">
        <w:rPr>
          <w:rFonts w:cstheme="minorHAnsi"/>
        </w:rPr>
        <w:t xml:space="preserve"> to get representation in both </w:t>
      </w:r>
      <w:r w:rsidRPr="008017BB">
        <w:rPr>
          <w:rFonts w:cstheme="minorHAnsi"/>
        </w:rPr>
        <w:t xml:space="preserve">customary and statutory courts. This grant provided an opportunity for young women lawyers who are motivated and have organized themselves to improve access to justice for women in the country especially in </w:t>
      </w:r>
      <w:r w:rsidR="003061A7" w:rsidRPr="008017BB">
        <w:rPr>
          <w:rFonts w:cstheme="minorHAnsi"/>
        </w:rPr>
        <w:t xml:space="preserve">the </w:t>
      </w:r>
      <w:r w:rsidRPr="008017BB">
        <w:rPr>
          <w:rFonts w:cstheme="minorHAnsi"/>
        </w:rPr>
        <w:t>capit</w:t>
      </w:r>
      <w:r w:rsidR="00E6064C">
        <w:rPr>
          <w:rFonts w:cstheme="minorHAnsi"/>
        </w:rPr>
        <w:t>al Juba. The grant helped fill</w:t>
      </w:r>
      <w:r w:rsidRPr="008017BB">
        <w:rPr>
          <w:rFonts w:cstheme="minorHAnsi"/>
        </w:rPr>
        <w:t xml:space="preserve"> a gap in </w:t>
      </w:r>
      <w:r w:rsidR="003061A7" w:rsidRPr="008017BB">
        <w:rPr>
          <w:rFonts w:cstheme="minorHAnsi"/>
        </w:rPr>
        <w:t xml:space="preserve">the </w:t>
      </w:r>
      <w:r w:rsidRPr="008017BB">
        <w:rPr>
          <w:rFonts w:cstheme="minorHAnsi"/>
        </w:rPr>
        <w:t>provision of legal aid and awareness-raising among women who always access customary courts. JFO has improved its understanding of women</w:t>
      </w:r>
      <w:r w:rsidR="003061A7" w:rsidRPr="008017BB">
        <w:rPr>
          <w:rFonts w:cstheme="minorHAnsi"/>
        </w:rPr>
        <w:t>’s</w:t>
      </w:r>
      <w:r w:rsidRPr="008017BB">
        <w:rPr>
          <w:rFonts w:cstheme="minorHAnsi"/>
        </w:rPr>
        <w:t xml:space="preserve"> issues and can competently speak on the situation of women in the criminal justice system as it has experience and enjoys local legitimacy.</w:t>
      </w:r>
    </w:p>
    <w:p w:rsidR="007203A0" w:rsidRPr="005C332D" w:rsidRDefault="007203A0" w:rsidP="00C210CA">
      <w:pPr>
        <w:pStyle w:val="NoSpacing"/>
        <w:spacing w:after="200"/>
        <w:jc w:val="both"/>
        <w:rPr>
          <w:rFonts w:eastAsia="Times New Roman" w:cstheme="minorHAnsi"/>
          <w:b/>
          <w:bCs/>
        </w:rPr>
      </w:pPr>
      <w:r w:rsidRPr="005C332D">
        <w:rPr>
          <w:rFonts w:eastAsia="Times New Roman" w:cstheme="minorHAnsi"/>
          <w:b/>
          <w:bCs/>
        </w:rPr>
        <w:lastRenderedPageBreak/>
        <w:t>Goal 7: Accountability and transitional justice</w:t>
      </w:r>
      <w:r w:rsidR="00536FE4">
        <w:rPr>
          <w:rFonts w:eastAsia="Times New Roman" w:cstheme="minorHAnsi"/>
          <w:b/>
          <w:bCs/>
        </w:rPr>
        <w:t>.</w:t>
      </w:r>
    </w:p>
    <w:p w:rsidR="007203A0" w:rsidRPr="008017BB" w:rsidRDefault="007203A0" w:rsidP="00C210CA">
      <w:pPr>
        <w:tabs>
          <w:tab w:val="num" w:pos="720"/>
        </w:tabs>
        <w:spacing w:line="240" w:lineRule="auto"/>
        <w:jc w:val="both"/>
        <w:rPr>
          <w:rFonts w:cstheme="minorHAnsi"/>
        </w:rPr>
      </w:pPr>
      <w:r w:rsidRPr="008017BB">
        <w:rPr>
          <w:rFonts w:eastAsia="Times New Roman" w:cstheme="minorHAnsi"/>
          <w:bCs/>
        </w:rPr>
        <w:t>Strategic convening</w:t>
      </w:r>
      <w:r w:rsidR="003061A7" w:rsidRPr="008017BB">
        <w:rPr>
          <w:rFonts w:eastAsia="Times New Roman" w:cstheme="minorHAnsi"/>
          <w:bCs/>
        </w:rPr>
        <w:t>s</w:t>
      </w:r>
      <w:r w:rsidRPr="008017BB">
        <w:rPr>
          <w:rFonts w:eastAsia="Times New Roman" w:cstheme="minorHAnsi"/>
          <w:bCs/>
        </w:rPr>
        <w:t xml:space="preserve"> and advocacy sessions at the AU, </w:t>
      </w:r>
      <w:r w:rsidR="003061A7" w:rsidRPr="008017BB">
        <w:rPr>
          <w:rFonts w:eastAsia="Times New Roman" w:cstheme="minorHAnsi"/>
          <w:bCs/>
        </w:rPr>
        <w:t xml:space="preserve">the </w:t>
      </w:r>
      <w:r w:rsidR="00536FE4" w:rsidRPr="00536FE4">
        <w:rPr>
          <w:rFonts w:eastAsia="Times New Roman" w:cstheme="minorHAnsi"/>
          <w:bCs/>
        </w:rPr>
        <w:t>ACHPR</w:t>
      </w:r>
      <w:r w:rsidR="003061A7" w:rsidRPr="008017BB">
        <w:rPr>
          <w:rFonts w:eastAsia="Times New Roman" w:cstheme="minorHAnsi"/>
          <w:bCs/>
        </w:rPr>
        <w:t xml:space="preserve">, </w:t>
      </w:r>
      <w:r w:rsidRPr="008017BB">
        <w:rPr>
          <w:rFonts w:eastAsia="Times New Roman" w:cstheme="minorHAnsi"/>
          <w:bCs/>
        </w:rPr>
        <w:t xml:space="preserve">the Human </w:t>
      </w:r>
      <w:r w:rsidR="003061A7" w:rsidRPr="008017BB">
        <w:rPr>
          <w:rFonts w:eastAsia="Times New Roman" w:cstheme="minorHAnsi"/>
          <w:bCs/>
        </w:rPr>
        <w:t xml:space="preserve">Rights </w:t>
      </w:r>
      <w:r w:rsidRPr="008017BB">
        <w:rPr>
          <w:rFonts w:eastAsia="Times New Roman" w:cstheme="minorHAnsi"/>
          <w:bCs/>
        </w:rPr>
        <w:t xml:space="preserve">Council and </w:t>
      </w:r>
      <w:r w:rsidR="003061A7" w:rsidRPr="008017BB">
        <w:rPr>
          <w:rFonts w:eastAsia="Times New Roman" w:cstheme="minorHAnsi"/>
          <w:bCs/>
        </w:rPr>
        <w:t xml:space="preserve">the </w:t>
      </w:r>
      <w:r w:rsidRPr="008017BB">
        <w:rPr>
          <w:rFonts w:eastAsia="Times New Roman" w:cstheme="minorHAnsi"/>
          <w:bCs/>
        </w:rPr>
        <w:t xml:space="preserve">US government through </w:t>
      </w:r>
      <w:r w:rsidR="00E6064C">
        <w:rPr>
          <w:rFonts w:eastAsia="Times New Roman" w:cstheme="minorHAnsi"/>
          <w:bCs/>
        </w:rPr>
        <w:t>OS</w:t>
      </w:r>
      <w:r w:rsidR="002D2608">
        <w:rPr>
          <w:rFonts w:eastAsia="Times New Roman" w:cstheme="minorHAnsi"/>
          <w:bCs/>
        </w:rPr>
        <w:t>I</w:t>
      </w:r>
      <w:r w:rsidR="00E6064C">
        <w:rPr>
          <w:rFonts w:eastAsia="Times New Roman" w:cstheme="minorHAnsi"/>
          <w:bCs/>
        </w:rPr>
        <w:t xml:space="preserve">EA grantees </w:t>
      </w:r>
      <w:r w:rsidRPr="008017BB">
        <w:rPr>
          <w:rFonts w:eastAsia="Times New Roman" w:cstheme="minorHAnsi"/>
          <w:bCs/>
        </w:rPr>
        <w:t xml:space="preserve">CPJ and SSLS </w:t>
      </w:r>
      <w:r w:rsidRPr="008017BB">
        <w:rPr>
          <w:rFonts w:cstheme="minorHAnsi"/>
        </w:rPr>
        <w:t xml:space="preserve">increased the recognition of transitional justice processes in seeking accountability for crimes committed during the violent conflict that started in December 2013 especially in Juba, Bor, Malakal and Bentiu. This advocacy resulted in the release of the </w:t>
      </w:r>
      <w:r w:rsidR="002D2608">
        <w:rPr>
          <w:rFonts w:cstheme="minorHAnsi"/>
        </w:rPr>
        <w:t>AU</w:t>
      </w:r>
      <w:r w:rsidRPr="008017BB">
        <w:rPr>
          <w:rFonts w:cstheme="minorHAnsi"/>
        </w:rPr>
        <w:t xml:space="preserve"> Commission Inquiry Report on the Crisis in South Sudan (AUCISS) and the </w:t>
      </w:r>
      <w:r w:rsidR="003061A7" w:rsidRPr="008017BB">
        <w:rPr>
          <w:rFonts w:cstheme="minorHAnsi"/>
        </w:rPr>
        <w:t xml:space="preserve">proposal </w:t>
      </w:r>
      <w:r w:rsidRPr="008017BB">
        <w:rPr>
          <w:rFonts w:cstheme="minorHAnsi"/>
        </w:rPr>
        <w:t>for a hybrid court, reparation</w:t>
      </w:r>
      <w:r w:rsidR="003061A7" w:rsidRPr="008017BB">
        <w:rPr>
          <w:rFonts w:cstheme="minorHAnsi"/>
        </w:rPr>
        <w:t>s</w:t>
      </w:r>
      <w:r w:rsidRPr="008017BB">
        <w:rPr>
          <w:rFonts w:cstheme="minorHAnsi"/>
        </w:rPr>
        <w:t xml:space="preserve"> authority and </w:t>
      </w:r>
      <w:r w:rsidR="003061A7" w:rsidRPr="008017BB">
        <w:rPr>
          <w:rFonts w:cstheme="minorHAnsi"/>
        </w:rPr>
        <w:t xml:space="preserve">a </w:t>
      </w:r>
      <w:r w:rsidRPr="008017BB">
        <w:rPr>
          <w:rFonts w:cstheme="minorHAnsi"/>
        </w:rPr>
        <w:t>truth and reconciliation commission in the final peace agreement</w:t>
      </w:r>
      <w:r w:rsidR="003061A7" w:rsidRPr="008017BB">
        <w:rPr>
          <w:rFonts w:cstheme="minorHAnsi"/>
        </w:rPr>
        <w:t>.</w:t>
      </w:r>
    </w:p>
    <w:p w:rsidR="005C332D" w:rsidRDefault="005C332D" w:rsidP="00C210CA">
      <w:pPr>
        <w:rPr>
          <w:rStyle w:val="IntenseEmphasis"/>
          <w:rFonts w:cstheme="minorHAnsi"/>
        </w:rPr>
      </w:pPr>
      <w:r>
        <w:rPr>
          <w:rStyle w:val="IntenseEmphasis"/>
          <w:rFonts w:cstheme="minorHAnsi"/>
        </w:rPr>
        <w:br w:type="page"/>
      </w:r>
    </w:p>
    <w:p w:rsidR="00014B32" w:rsidRDefault="00014B32" w:rsidP="00C210CA">
      <w:pPr>
        <w:spacing w:line="240" w:lineRule="auto"/>
        <w:jc w:val="both"/>
        <w:rPr>
          <w:rStyle w:val="IntenseEmphasis"/>
          <w:rFonts w:cstheme="minorHAnsi"/>
        </w:rPr>
      </w:pPr>
      <w:r>
        <w:rPr>
          <w:rStyle w:val="IntenseEmphasis"/>
          <w:rFonts w:cstheme="minorHAnsi"/>
        </w:rPr>
        <w:lastRenderedPageBreak/>
        <w:t>TANZANIA</w:t>
      </w:r>
    </w:p>
    <w:p w:rsidR="00BD734C" w:rsidRPr="008017BB" w:rsidRDefault="00D60D7F" w:rsidP="00C210CA">
      <w:pPr>
        <w:spacing w:line="240" w:lineRule="auto"/>
        <w:jc w:val="both"/>
        <w:rPr>
          <w:rStyle w:val="IntenseEmphasis"/>
          <w:rFonts w:cstheme="minorHAnsi"/>
        </w:rPr>
      </w:pPr>
      <w:r>
        <w:rPr>
          <w:rStyle w:val="IntenseEmphasis"/>
          <w:rFonts w:cstheme="minorHAnsi"/>
        </w:rPr>
        <w:pict>
          <v:rect id="_x0000_i1028" style="width:0;height:1.5pt" o:hralign="center" o:hrstd="t" o:hr="t" fillcolor="#a0a0a0" stroked="f"/>
        </w:pict>
      </w:r>
    </w:p>
    <w:p w:rsidR="00BD734C" w:rsidRPr="008017BB" w:rsidRDefault="00BD734C" w:rsidP="00C210CA">
      <w:pPr>
        <w:spacing w:line="240" w:lineRule="auto"/>
        <w:jc w:val="both"/>
        <w:rPr>
          <w:rFonts w:cstheme="minorHAnsi"/>
          <w:b/>
        </w:rPr>
      </w:pPr>
      <w:r w:rsidRPr="008017BB">
        <w:rPr>
          <w:rFonts w:cstheme="minorHAnsi"/>
          <w:b/>
        </w:rPr>
        <w:t>Goal 1: Tanzanians embrace a constitutional culture that promotes values of democracy, integrity and accountability</w:t>
      </w:r>
      <w:r w:rsidR="00014B32">
        <w:rPr>
          <w:rFonts w:cstheme="minorHAnsi"/>
          <w:b/>
        </w:rPr>
        <w:t>.</w:t>
      </w:r>
    </w:p>
    <w:p w:rsidR="00BD734C" w:rsidRPr="008017BB" w:rsidRDefault="00BD734C" w:rsidP="00C210CA">
      <w:pPr>
        <w:spacing w:line="240" w:lineRule="auto"/>
        <w:jc w:val="both"/>
        <w:rPr>
          <w:rFonts w:cstheme="minorHAnsi"/>
        </w:rPr>
      </w:pPr>
      <w:r w:rsidRPr="008017BB">
        <w:rPr>
          <w:rFonts w:cstheme="minorHAnsi"/>
        </w:rPr>
        <w:t xml:space="preserve">Despite the stalemate of the </w:t>
      </w:r>
      <w:r w:rsidR="00E6064C">
        <w:rPr>
          <w:rFonts w:cstheme="minorHAnsi"/>
        </w:rPr>
        <w:t xml:space="preserve">constitutional reform </w:t>
      </w:r>
      <w:r w:rsidRPr="008017BB">
        <w:rPr>
          <w:rFonts w:cstheme="minorHAnsi"/>
        </w:rPr>
        <w:t xml:space="preserve">process due to conflicting interests, </w:t>
      </w:r>
      <w:r w:rsidR="003061A7" w:rsidRPr="008017BB">
        <w:rPr>
          <w:rFonts w:cstheme="minorHAnsi"/>
        </w:rPr>
        <w:t xml:space="preserve">OSIEA </w:t>
      </w:r>
      <w:r w:rsidR="00E6064C">
        <w:rPr>
          <w:rFonts w:cstheme="minorHAnsi"/>
        </w:rPr>
        <w:t>continued to support it</w:t>
      </w:r>
      <w:r w:rsidR="00B74830">
        <w:rPr>
          <w:rFonts w:cstheme="minorHAnsi"/>
        </w:rPr>
        <w:t>,</w:t>
      </w:r>
      <w:r w:rsidR="00E6064C">
        <w:rPr>
          <w:rFonts w:cstheme="minorHAnsi"/>
        </w:rPr>
        <w:t xml:space="preserve"> </w:t>
      </w:r>
      <w:r w:rsidRPr="008017BB">
        <w:rPr>
          <w:rFonts w:cstheme="minorHAnsi"/>
        </w:rPr>
        <w:t xml:space="preserve">focusing on inclusion and participation of citizens and various groups in the community.  </w:t>
      </w:r>
      <w:r w:rsidR="00753201">
        <w:rPr>
          <w:rFonts w:cstheme="minorHAnsi"/>
        </w:rPr>
        <w:t>OSIEA</w:t>
      </w:r>
      <w:r w:rsidRPr="008017BB">
        <w:rPr>
          <w:rFonts w:cstheme="minorHAnsi"/>
        </w:rPr>
        <w:t xml:space="preserve"> worked closely with key stakeholders such as CSOs (Jukwaa la Katiba, </w:t>
      </w:r>
      <w:r w:rsidR="00B74830">
        <w:rPr>
          <w:rFonts w:cstheme="minorHAnsi"/>
        </w:rPr>
        <w:t>B</w:t>
      </w:r>
      <w:r w:rsidRPr="008017BB">
        <w:rPr>
          <w:rFonts w:cstheme="minorHAnsi"/>
        </w:rPr>
        <w:t>araza la</w:t>
      </w:r>
      <w:r w:rsidR="00185817">
        <w:rPr>
          <w:rFonts w:cstheme="minorHAnsi"/>
        </w:rPr>
        <w:t xml:space="preserve"> Katiba Zanzibar [</w:t>
      </w:r>
      <w:r w:rsidRPr="008017BB">
        <w:rPr>
          <w:rFonts w:cstheme="minorHAnsi"/>
        </w:rPr>
        <w:t>BAKAZA</w:t>
      </w:r>
      <w:r w:rsidR="00185817">
        <w:rPr>
          <w:rFonts w:cstheme="minorHAnsi"/>
        </w:rPr>
        <w:t>]</w:t>
      </w:r>
      <w:r w:rsidRPr="008017BB">
        <w:rPr>
          <w:rFonts w:cstheme="minorHAnsi"/>
        </w:rPr>
        <w:t xml:space="preserve">, </w:t>
      </w:r>
      <w:r w:rsidR="003061A7" w:rsidRPr="008017BB">
        <w:rPr>
          <w:rFonts w:cstheme="minorHAnsi"/>
        </w:rPr>
        <w:t xml:space="preserve">the </w:t>
      </w:r>
      <w:r w:rsidR="00B74830">
        <w:rPr>
          <w:rFonts w:cstheme="minorHAnsi"/>
        </w:rPr>
        <w:t>Mwalimu Nyerere Foundation,</w:t>
      </w:r>
      <w:r w:rsidR="003061A7" w:rsidRPr="008017BB">
        <w:rPr>
          <w:rFonts w:cstheme="minorHAnsi"/>
        </w:rPr>
        <w:t xml:space="preserve"> </w:t>
      </w:r>
      <w:r w:rsidRPr="008017BB">
        <w:rPr>
          <w:rFonts w:cstheme="minorHAnsi"/>
        </w:rPr>
        <w:t>Women Fund Tanzania</w:t>
      </w:r>
      <w:r w:rsidR="006A7604">
        <w:rPr>
          <w:rFonts w:cstheme="minorHAnsi"/>
        </w:rPr>
        <w:t xml:space="preserve"> [WFT]</w:t>
      </w:r>
      <w:r w:rsidRPr="008017BB">
        <w:rPr>
          <w:rFonts w:cstheme="minorHAnsi"/>
        </w:rPr>
        <w:t xml:space="preserve">, </w:t>
      </w:r>
      <w:r w:rsidR="003061A7" w:rsidRPr="008017BB">
        <w:rPr>
          <w:rFonts w:cstheme="minorHAnsi"/>
        </w:rPr>
        <w:t xml:space="preserve">and </w:t>
      </w:r>
      <w:r w:rsidR="00B74830" w:rsidRPr="00B74830">
        <w:rPr>
          <w:rFonts w:cstheme="minorHAnsi"/>
        </w:rPr>
        <w:t xml:space="preserve">Pastoralists Indigenous Non-Governmental Organizations </w:t>
      </w:r>
      <w:r w:rsidR="00185817">
        <w:rPr>
          <w:rFonts w:cstheme="minorHAnsi"/>
        </w:rPr>
        <w:t>[</w:t>
      </w:r>
      <w:r w:rsidRPr="008017BB">
        <w:rPr>
          <w:rFonts w:cstheme="minorHAnsi"/>
        </w:rPr>
        <w:t>PINGOs</w:t>
      </w:r>
      <w:r w:rsidR="00185817">
        <w:rPr>
          <w:rFonts w:cstheme="minorHAnsi"/>
        </w:rPr>
        <w:t>]</w:t>
      </w:r>
      <w:r w:rsidRPr="008017BB">
        <w:rPr>
          <w:rFonts w:cstheme="minorHAnsi"/>
        </w:rPr>
        <w:t>)</w:t>
      </w:r>
      <w:r w:rsidR="003061A7" w:rsidRPr="008017BB">
        <w:rPr>
          <w:rFonts w:cstheme="minorHAnsi"/>
        </w:rPr>
        <w:t>, the m</w:t>
      </w:r>
      <w:r w:rsidRPr="008017BB">
        <w:rPr>
          <w:rFonts w:cstheme="minorHAnsi"/>
        </w:rPr>
        <w:t xml:space="preserve">edia and the </w:t>
      </w:r>
      <w:r w:rsidR="00E6064C">
        <w:rPr>
          <w:rFonts w:cstheme="minorHAnsi"/>
        </w:rPr>
        <w:t xml:space="preserve">Warioba constitutional </w:t>
      </w:r>
      <w:r w:rsidRPr="008017BB">
        <w:rPr>
          <w:rFonts w:cstheme="minorHAnsi"/>
        </w:rPr>
        <w:t>commission</w:t>
      </w:r>
      <w:r w:rsidR="006A7604">
        <w:rPr>
          <w:rFonts w:cstheme="minorHAnsi"/>
        </w:rPr>
        <w:t>,</w:t>
      </w:r>
      <w:r w:rsidRPr="008017BB">
        <w:rPr>
          <w:rFonts w:cstheme="minorHAnsi"/>
        </w:rPr>
        <w:t xml:space="preserve"> in an effort to analyze and educate the mass</w:t>
      </w:r>
      <w:r w:rsidR="003061A7" w:rsidRPr="008017BB">
        <w:rPr>
          <w:rFonts w:cstheme="minorHAnsi"/>
        </w:rPr>
        <w:t>es</w:t>
      </w:r>
      <w:r w:rsidRPr="008017BB">
        <w:rPr>
          <w:rFonts w:cstheme="minorHAnsi"/>
        </w:rPr>
        <w:t xml:space="preserve"> on the content of the proposed draft </w:t>
      </w:r>
      <w:r w:rsidR="00D4336B">
        <w:rPr>
          <w:rFonts w:cstheme="minorHAnsi"/>
        </w:rPr>
        <w:t>C</w:t>
      </w:r>
      <w:r w:rsidR="003061A7" w:rsidRPr="008017BB">
        <w:rPr>
          <w:rFonts w:cstheme="minorHAnsi"/>
        </w:rPr>
        <w:t xml:space="preserve">onstitution. The effort was also meant to </w:t>
      </w:r>
      <w:r w:rsidR="00E6064C">
        <w:rPr>
          <w:rFonts w:cstheme="minorHAnsi"/>
        </w:rPr>
        <w:t xml:space="preserve">provide access to </w:t>
      </w:r>
      <w:r w:rsidRPr="008017BB">
        <w:rPr>
          <w:rFonts w:cstheme="minorHAnsi"/>
        </w:rPr>
        <w:t xml:space="preserve">the Warioba draft </w:t>
      </w:r>
      <w:r w:rsidR="00D4336B">
        <w:rPr>
          <w:rFonts w:cstheme="minorHAnsi"/>
        </w:rPr>
        <w:t>C</w:t>
      </w:r>
      <w:r w:rsidR="003061A7" w:rsidRPr="008017BB">
        <w:rPr>
          <w:rFonts w:cstheme="minorHAnsi"/>
        </w:rPr>
        <w:t xml:space="preserve">onstitution </w:t>
      </w:r>
      <w:r w:rsidRPr="008017BB">
        <w:rPr>
          <w:rFonts w:cstheme="minorHAnsi"/>
        </w:rPr>
        <w:t xml:space="preserve">which was more pro-reform. Efforts were made to promote public dialogues through platforms such as Jukwaa la Katiba and document the whole process, and some of the reports and publications are already available in both </w:t>
      </w:r>
      <w:r w:rsidR="003061A7" w:rsidRPr="008017BB">
        <w:rPr>
          <w:rFonts w:cstheme="minorHAnsi"/>
        </w:rPr>
        <w:t>Kis</w:t>
      </w:r>
      <w:r w:rsidRPr="008017BB">
        <w:rPr>
          <w:rFonts w:cstheme="minorHAnsi"/>
        </w:rPr>
        <w:t>wahili and English language</w:t>
      </w:r>
      <w:r w:rsidR="003061A7" w:rsidRPr="008017BB">
        <w:rPr>
          <w:rFonts w:cstheme="minorHAnsi"/>
        </w:rPr>
        <w:t>s</w:t>
      </w:r>
      <w:r w:rsidR="00E6064C">
        <w:rPr>
          <w:rFonts w:cstheme="minorHAnsi"/>
        </w:rPr>
        <w:t xml:space="preserve">. </w:t>
      </w:r>
    </w:p>
    <w:p w:rsidR="00BD734C" w:rsidRPr="008017BB" w:rsidRDefault="00BD734C" w:rsidP="00C210CA">
      <w:pPr>
        <w:spacing w:line="240" w:lineRule="auto"/>
        <w:jc w:val="both"/>
        <w:rPr>
          <w:rFonts w:cstheme="minorHAnsi"/>
        </w:rPr>
      </w:pPr>
      <w:r w:rsidRPr="008017BB">
        <w:rPr>
          <w:rFonts w:cstheme="minorHAnsi"/>
        </w:rPr>
        <w:t>Though the process was left pending, the investment in the process made the wider public aware of their responsibility to participate in such democratic processes</w:t>
      </w:r>
      <w:r w:rsidR="003061A7" w:rsidRPr="008017BB">
        <w:rPr>
          <w:rFonts w:cstheme="minorHAnsi"/>
        </w:rPr>
        <w:t xml:space="preserve">. The </w:t>
      </w:r>
      <w:r w:rsidRPr="008017BB">
        <w:rPr>
          <w:rFonts w:cstheme="minorHAnsi"/>
        </w:rPr>
        <w:t>impact was later seen during the 2015 elections</w:t>
      </w:r>
      <w:r w:rsidR="003061A7" w:rsidRPr="008017BB">
        <w:rPr>
          <w:rFonts w:cstheme="minorHAnsi"/>
        </w:rPr>
        <w:t xml:space="preserve"> and was </w:t>
      </w:r>
      <w:r w:rsidRPr="008017BB">
        <w:rPr>
          <w:rFonts w:cstheme="minorHAnsi"/>
        </w:rPr>
        <w:t xml:space="preserve">manifested both by the level of </w:t>
      </w:r>
      <w:r w:rsidR="003061A7" w:rsidRPr="008017BB">
        <w:rPr>
          <w:rFonts w:cstheme="minorHAnsi"/>
        </w:rPr>
        <w:t xml:space="preserve">public </w:t>
      </w:r>
      <w:r w:rsidRPr="008017BB">
        <w:rPr>
          <w:rFonts w:cstheme="minorHAnsi"/>
        </w:rPr>
        <w:t xml:space="preserve">participation, </w:t>
      </w:r>
      <w:r w:rsidR="003061A7" w:rsidRPr="008017BB">
        <w:rPr>
          <w:rFonts w:cstheme="minorHAnsi"/>
        </w:rPr>
        <w:t xml:space="preserve">public </w:t>
      </w:r>
      <w:r w:rsidRPr="008017BB">
        <w:rPr>
          <w:rFonts w:cstheme="minorHAnsi"/>
        </w:rPr>
        <w:t xml:space="preserve">interest and </w:t>
      </w:r>
      <w:r w:rsidR="003061A7" w:rsidRPr="008017BB">
        <w:rPr>
          <w:rFonts w:cstheme="minorHAnsi"/>
        </w:rPr>
        <w:t xml:space="preserve">the improved </w:t>
      </w:r>
      <w:r w:rsidRPr="008017BB">
        <w:rPr>
          <w:rFonts w:cstheme="minorHAnsi"/>
        </w:rPr>
        <w:t xml:space="preserve">understanding </w:t>
      </w:r>
      <w:r w:rsidR="006A7604">
        <w:rPr>
          <w:rFonts w:cstheme="minorHAnsi"/>
        </w:rPr>
        <w:t xml:space="preserve">by </w:t>
      </w:r>
      <w:r w:rsidRPr="008017BB">
        <w:rPr>
          <w:rFonts w:cstheme="minorHAnsi"/>
        </w:rPr>
        <w:t>the majority</w:t>
      </w:r>
      <w:r w:rsidR="003061A7" w:rsidRPr="008017BB">
        <w:rPr>
          <w:rFonts w:cstheme="minorHAnsi"/>
        </w:rPr>
        <w:t xml:space="preserve"> of the importance of elections</w:t>
      </w:r>
      <w:r w:rsidRPr="008017BB">
        <w:rPr>
          <w:rFonts w:cstheme="minorHAnsi"/>
        </w:rPr>
        <w:t xml:space="preserve">. </w:t>
      </w:r>
    </w:p>
    <w:p w:rsidR="00BD734C" w:rsidRPr="008017BB" w:rsidRDefault="007A3453" w:rsidP="00C210CA">
      <w:pPr>
        <w:tabs>
          <w:tab w:val="left" w:pos="1815"/>
        </w:tabs>
        <w:spacing w:line="240" w:lineRule="auto"/>
        <w:jc w:val="both"/>
        <w:rPr>
          <w:rFonts w:cstheme="minorHAnsi"/>
          <w:b/>
        </w:rPr>
      </w:pPr>
      <w:r>
        <w:rPr>
          <w:rFonts w:cstheme="minorHAnsi"/>
          <w:b/>
        </w:rPr>
        <w:t xml:space="preserve">Goal 2: </w:t>
      </w:r>
      <w:r w:rsidR="00BD734C" w:rsidRPr="008017BB">
        <w:rPr>
          <w:rFonts w:cstheme="minorHAnsi"/>
          <w:b/>
        </w:rPr>
        <w:t xml:space="preserve">Increased citizens’ demand for, and participation in, credible elections. </w:t>
      </w:r>
    </w:p>
    <w:p w:rsidR="00BD734C" w:rsidRPr="008017BB" w:rsidRDefault="00BD734C" w:rsidP="00C210CA">
      <w:pPr>
        <w:spacing w:line="240" w:lineRule="auto"/>
        <w:jc w:val="both"/>
        <w:rPr>
          <w:rFonts w:cstheme="minorHAnsi"/>
        </w:rPr>
      </w:pPr>
      <w:r w:rsidRPr="008017BB">
        <w:rPr>
          <w:rFonts w:cstheme="minorHAnsi"/>
        </w:rPr>
        <w:t>OSIEA</w:t>
      </w:r>
      <w:r w:rsidR="00E6064C">
        <w:rPr>
          <w:rFonts w:cstheme="minorHAnsi"/>
        </w:rPr>
        <w:t xml:space="preserve"> </w:t>
      </w:r>
      <w:r w:rsidRPr="008017BB">
        <w:rPr>
          <w:rFonts w:cstheme="minorHAnsi"/>
        </w:rPr>
        <w:t>supported two strong election observation consortiums (</w:t>
      </w:r>
      <w:r w:rsidR="00517DFD" w:rsidRPr="00517DFD">
        <w:rPr>
          <w:rFonts w:cstheme="minorHAnsi"/>
        </w:rPr>
        <w:t>Tanzania Election Monitoring Committee</w:t>
      </w:r>
      <w:r w:rsidRPr="008017BB">
        <w:rPr>
          <w:rFonts w:cstheme="minorHAnsi"/>
        </w:rPr>
        <w:t xml:space="preserve"> </w:t>
      </w:r>
      <w:r w:rsidR="00517DFD">
        <w:rPr>
          <w:rFonts w:cstheme="minorHAnsi"/>
        </w:rPr>
        <w:t>[</w:t>
      </w:r>
      <w:r w:rsidR="00517DFD" w:rsidRPr="008017BB">
        <w:rPr>
          <w:rFonts w:cstheme="minorHAnsi"/>
        </w:rPr>
        <w:t>TEMCO</w:t>
      </w:r>
      <w:r w:rsidR="00517DFD">
        <w:rPr>
          <w:rFonts w:cstheme="minorHAnsi"/>
        </w:rPr>
        <w:t>] and</w:t>
      </w:r>
      <w:r w:rsidR="00517DFD" w:rsidRPr="00517DFD">
        <w:rPr>
          <w:rFonts w:cstheme="minorHAnsi"/>
        </w:rPr>
        <w:t xml:space="preserve"> Tanzania Civil Society Consortium on Election Observation</w:t>
      </w:r>
      <w:r w:rsidR="00517DFD">
        <w:rPr>
          <w:rFonts w:cstheme="minorHAnsi"/>
        </w:rPr>
        <w:t xml:space="preserve"> [</w:t>
      </w:r>
      <w:r w:rsidR="00517DFD" w:rsidRPr="008017BB">
        <w:rPr>
          <w:rFonts w:cstheme="minorHAnsi"/>
        </w:rPr>
        <w:t>TACCEO</w:t>
      </w:r>
      <w:r w:rsidR="00517DFD">
        <w:rPr>
          <w:rFonts w:cstheme="minorHAnsi"/>
        </w:rPr>
        <w:t>]</w:t>
      </w:r>
      <w:r w:rsidRPr="008017BB">
        <w:rPr>
          <w:rFonts w:cstheme="minorHAnsi"/>
        </w:rPr>
        <w:t xml:space="preserve">) in staging an election situation room with </w:t>
      </w:r>
      <w:r w:rsidR="003061A7" w:rsidRPr="008017BB">
        <w:rPr>
          <w:rFonts w:cstheme="minorHAnsi"/>
        </w:rPr>
        <w:t xml:space="preserve">the </w:t>
      </w:r>
      <w:r w:rsidRPr="008017BB">
        <w:rPr>
          <w:rFonts w:cstheme="minorHAnsi"/>
        </w:rPr>
        <w:t>collaboration</w:t>
      </w:r>
      <w:r w:rsidR="003061A7" w:rsidRPr="008017BB">
        <w:rPr>
          <w:rFonts w:cstheme="minorHAnsi"/>
        </w:rPr>
        <w:t xml:space="preserve"> of key</w:t>
      </w:r>
      <w:r w:rsidRPr="008017BB">
        <w:rPr>
          <w:rFonts w:cstheme="minorHAnsi"/>
        </w:rPr>
        <w:t xml:space="preserve"> institutions including the police force, </w:t>
      </w:r>
      <w:r w:rsidR="003061A7" w:rsidRPr="008017BB">
        <w:rPr>
          <w:rFonts w:cstheme="minorHAnsi"/>
        </w:rPr>
        <w:t xml:space="preserve">the </w:t>
      </w:r>
      <w:r w:rsidRPr="008017BB">
        <w:rPr>
          <w:rFonts w:cstheme="minorHAnsi"/>
        </w:rPr>
        <w:t xml:space="preserve">anti-corruption bureau and the office of the registrar of political parties. Despite the constant intimidation by the </w:t>
      </w:r>
      <w:r w:rsidR="00517DFD">
        <w:rPr>
          <w:rFonts w:cstheme="minorHAnsi"/>
        </w:rPr>
        <w:t>National E</w:t>
      </w:r>
      <w:r w:rsidRPr="008017BB">
        <w:rPr>
          <w:rFonts w:cstheme="minorHAnsi"/>
        </w:rPr>
        <w:t xml:space="preserve">lectoral </w:t>
      </w:r>
      <w:r w:rsidR="00517DFD">
        <w:rPr>
          <w:rFonts w:cstheme="minorHAnsi"/>
        </w:rPr>
        <w:t>C</w:t>
      </w:r>
      <w:r w:rsidRPr="008017BB">
        <w:rPr>
          <w:rFonts w:cstheme="minorHAnsi"/>
        </w:rPr>
        <w:t>ommission</w:t>
      </w:r>
      <w:r w:rsidR="00517DFD">
        <w:rPr>
          <w:rFonts w:cstheme="minorHAnsi"/>
        </w:rPr>
        <w:t xml:space="preserve"> (NEC)</w:t>
      </w:r>
      <w:r w:rsidRPr="008017BB">
        <w:rPr>
          <w:rFonts w:cstheme="minorHAnsi"/>
        </w:rPr>
        <w:t xml:space="preserve"> and </w:t>
      </w:r>
      <w:r w:rsidR="003061A7" w:rsidRPr="008017BB">
        <w:rPr>
          <w:rFonts w:cstheme="minorHAnsi"/>
        </w:rPr>
        <w:t xml:space="preserve">use of </w:t>
      </w:r>
      <w:r w:rsidRPr="008017BB">
        <w:rPr>
          <w:rFonts w:cstheme="minorHAnsi"/>
        </w:rPr>
        <w:t>restrictive laws</w:t>
      </w:r>
      <w:r w:rsidR="003061A7" w:rsidRPr="008017BB">
        <w:rPr>
          <w:rFonts w:cstheme="minorHAnsi"/>
        </w:rPr>
        <w:t xml:space="preserve">, </w:t>
      </w:r>
      <w:r w:rsidRPr="008017BB">
        <w:rPr>
          <w:rFonts w:cstheme="minorHAnsi"/>
        </w:rPr>
        <w:t xml:space="preserve">the initiative played a great role </w:t>
      </w:r>
      <w:r w:rsidR="003061A7" w:rsidRPr="008017BB">
        <w:rPr>
          <w:rFonts w:cstheme="minorHAnsi"/>
        </w:rPr>
        <w:t xml:space="preserve">in </w:t>
      </w:r>
      <w:r w:rsidRPr="008017BB">
        <w:rPr>
          <w:rFonts w:cstheme="minorHAnsi"/>
        </w:rPr>
        <w:t>collecting information across the country, analyz</w:t>
      </w:r>
      <w:r w:rsidR="003061A7" w:rsidRPr="008017BB">
        <w:rPr>
          <w:rFonts w:cstheme="minorHAnsi"/>
        </w:rPr>
        <w:t xml:space="preserve">ing </w:t>
      </w:r>
      <w:r w:rsidRPr="008017BB">
        <w:rPr>
          <w:rFonts w:cstheme="minorHAnsi"/>
        </w:rPr>
        <w:t>it and inform</w:t>
      </w:r>
      <w:r w:rsidR="003061A7" w:rsidRPr="008017BB">
        <w:rPr>
          <w:rFonts w:cstheme="minorHAnsi"/>
        </w:rPr>
        <w:t xml:space="preserve">ing </w:t>
      </w:r>
      <w:r w:rsidRPr="008017BB">
        <w:rPr>
          <w:rFonts w:cstheme="minorHAnsi"/>
        </w:rPr>
        <w:t xml:space="preserve">the public in a timely manner. The objective of the initiative to inform key institutions for rapid response only worked well with </w:t>
      </w:r>
      <w:r w:rsidR="00517DFD">
        <w:rPr>
          <w:rFonts w:cstheme="minorHAnsi"/>
        </w:rPr>
        <w:t xml:space="preserve">the </w:t>
      </w:r>
      <w:r w:rsidRPr="008017BB">
        <w:rPr>
          <w:rFonts w:cstheme="minorHAnsi"/>
        </w:rPr>
        <w:t>police</w:t>
      </w:r>
      <w:r w:rsidR="003061A7" w:rsidRPr="008017BB">
        <w:rPr>
          <w:rFonts w:cstheme="minorHAnsi"/>
        </w:rPr>
        <w:t xml:space="preserve">. It was not </w:t>
      </w:r>
      <w:r w:rsidRPr="008017BB">
        <w:rPr>
          <w:rFonts w:cstheme="minorHAnsi"/>
        </w:rPr>
        <w:t xml:space="preserve">fully realized with NEC due to a lack of commitment from </w:t>
      </w:r>
      <w:r w:rsidR="003061A7" w:rsidRPr="008017BB">
        <w:rPr>
          <w:rFonts w:cstheme="minorHAnsi"/>
        </w:rPr>
        <w:t>them</w:t>
      </w:r>
      <w:r w:rsidRPr="008017BB">
        <w:rPr>
          <w:rFonts w:cstheme="minorHAnsi"/>
        </w:rPr>
        <w:t xml:space="preserve">. </w:t>
      </w:r>
      <w:r w:rsidR="003061A7" w:rsidRPr="008017BB">
        <w:rPr>
          <w:rFonts w:cstheme="minorHAnsi"/>
        </w:rPr>
        <w:t>T</w:t>
      </w:r>
      <w:r w:rsidRPr="008017BB">
        <w:rPr>
          <w:rFonts w:cstheme="minorHAnsi"/>
        </w:rPr>
        <w:t xml:space="preserve">he ability of OSIEA to bring these two coalitions together </w:t>
      </w:r>
      <w:r w:rsidR="003061A7" w:rsidRPr="008017BB">
        <w:rPr>
          <w:rFonts w:cstheme="minorHAnsi"/>
        </w:rPr>
        <w:t xml:space="preserve">was </w:t>
      </w:r>
      <w:r w:rsidRPr="008017BB">
        <w:rPr>
          <w:rFonts w:cstheme="minorHAnsi"/>
        </w:rPr>
        <w:t>commended</w:t>
      </w:r>
      <w:r w:rsidR="003061A7" w:rsidRPr="008017BB">
        <w:rPr>
          <w:rFonts w:cstheme="minorHAnsi"/>
        </w:rPr>
        <w:t xml:space="preserve"> by</w:t>
      </w:r>
      <w:r w:rsidR="00405179">
        <w:rPr>
          <w:rFonts w:cstheme="minorHAnsi"/>
        </w:rPr>
        <w:t xml:space="preserve"> </w:t>
      </w:r>
      <w:r w:rsidRPr="008017BB">
        <w:rPr>
          <w:rFonts w:cstheme="minorHAnsi"/>
        </w:rPr>
        <w:t xml:space="preserve">stakeholders in the country.  </w:t>
      </w:r>
    </w:p>
    <w:p w:rsidR="00BD734C" w:rsidRPr="008017BB" w:rsidRDefault="006678CB" w:rsidP="00C210CA">
      <w:pPr>
        <w:spacing w:line="240" w:lineRule="auto"/>
        <w:jc w:val="both"/>
        <w:rPr>
          <w:rFonts w:cstheme="minorHAnsi"/>
        </w:rPr>
      </w:pPr>
      <w:r w:rsidRPr="008017BB">
        <w:rPr>
          <w:rFonts w:cstheme="minorHAnsi"/>
        </w:rPr>
        <w:t xml:space="preserve">Moreover, OSIEA </w:t>
      </w:r>
      <w:r w:rsidR="00BD734C" w:rsidRPr="008017BB">
        <w:rPr>
          <w:rFonts w:cstheme="minorHAnsi"/>
        </w:rPr>
        <w:t xml:space="preserve">had targeted to contribute </w:t>
      </w:r>
      <w:r w:rsidRPr="008017BB">
        <w:rPr>
          <w:rFonts w:cstheme="minorHAnsi"/>
        </w:rPr>
        <w:t xml:space="preserve">towards </w:t>
      </w:r>
      <w:r w:rsidR="00BD734C" w:rsidRPr="008017BB">
        <w:rPr>
          <w:rFonts w:cstheme="minorHAnsi"/>
        </w:rPr>
        <w:t xml:space="preserve">promoting voter registration and turnout especially for young people through support to youth-led CSOs that used various approaches, from animated political satire, </w:t>
      </w:r>
      <w:r w:rsidRPr="008017BB">
        <w:rPr>
          <w:rFonts w:cstheme="minorHAnsi"/>
        </w:rPr>
        <w:t xml:space="preserve">engagement in </w:t>
      </w:r>
      <w:r w:rsidR="00BD734C" w:rsidRPr="008017BB">
        <w:rPr>
          <w:rFonts w:cstheme="minorHAnsi"/>
        </w:rPr>
        <w:t xml:space="preserve">social media, </w:t>
      </w:r>
      <w:r w:rsidRPr="008017BB">
        <w:rPr>
          <w:rFonts w:cstheme="minorHAnsi"/>
        </w:rPr>
        <w:t xml:space="preserve">use of </w:t>
      </w:r>
      <w:r w:rsidR="00BD734C" w:rsidRPr="008017BB">
        <w:rPr>
          <w:rFonts w:cstheme="minorHAnsi"/>
        </w:rPr>
        <w:t xml:space="preserve">pop culture and public concerts. This was achieved and </w:t>
      </w:r>
      <w:r w:rsidRPr="008017BB">
        <w:rPr>
          <w:rFonts w:cstheme="minorHAnsi"/>
        </w:rPr>
        <w:t xml:space="preserve">saw </w:t>
      </w:r>
      <w:r w:rsidR="00ED601C" w:rsidRPr="008017BB">
        <w:rPr>
          <w:rFonts w:cstheme="minorHAnsi"/>
        </w:rPr>
        <w:t>57%</w:t>
      </w:r>
      <w:r w:rsidR="00ED601C">
        <w:rPr>
          <w:rFonts w:cstheme="minorHAnsi"/>
        </w:rPr>
        <w:t xml:space="preserve"> voter registration among the </w:t>
      </w:r>
      <w:r w:rsidR="00BD734C" w:rsidRPr="008017BB">
        <w:rPr>
          <w:rFonts w:cstheme="minorHAnsi"/>
        </w:rPr>
        <w:t>youth. Some of the messages a</w:t>
      </w:r>
      <w:r w:rsidR="00405179">
        <w:rPr>
          <w:rFonts w:cstheme="minorHAnsi"/>
        </w:rPr>
        <w:t>lso focused on peaceful conduct</w:t>
      </w:r>
      <w:r w:rsidR="00BD734C" w:rsidRPr="008017BB">
        <w:rPr>
          <w:rFonts w:cstheme="minorHAnsi"/>
        </w:rPr>
        <w:t xml:space="preserve"> by the youth. </w:t>
      </w:r>
    </w:p>
    <w:p w:rsidR="00BD734C" w:rsidRDefault="00BD734C" w:rsidP="00C210CA">
      <w:pPr>
        <w:spacing w:line="240" w:lineRule="auto"/>
        <w:jc w:val="both"/>
        <w:rPr>
          <w:rFonts w:cstheme="minorHAnsi"/>
        </w:rPr>
      </w:pPr>
      <w:r w:rsidRPr="008017BB">
        <w:rPr>
          <w:rFonts w:cstheme="minorHAnsi"/>
        </w:rPr>
        <w:t xml:space="preserve">The program managed to conduct a successful international advocacy mission in the US which resulted in </w:t>
      </w:r>
      <w:r w:rsidR="00C03713" w:rsidRPr="008017BB">
        <w:rPr>
          <w:rFonts w:cstheme="minorHAnsi"/>
        </w:rPr>
        <w:t xml:space="preserve">enhanced </w:t>
      </w:r>
      <w:r w:rsidRPr="008017BB">
        <w:rPr>
          <w:rFonts w:cstheme="minorHAnsi"/>
        </w:rPr>
        <w:t xml:space="preserve">interest </w:t>
      </w:r>
      <w:r w:rsidR="00C03713" w:rsidRPr="008017BB">
        <w:rPr>
          <w:rFonts w:cstheme="minorHAnsi"/>
        </w:rPr>
        <w:t xml:space="preserve">in </w:t>
      </w:r>
      <w:r w:rsidRPr="008017BB">
        <w:rPr>
          <w:rFonts w:cstheme="minorHAnsi"/>
        </w:rPr>
        <w:t>T</w:t>
      </w:r>
      <w:r w:rsidR="00C03713" w:rsidRPr="008017BB">
        <w:rPr>
          <w:rFonts w:cstheme="minorHAnsi"/>
        </w:rPr>
        <w:t>anzania</w:t>
      </w:r>
      <w:r w:rsidR="003068CD">
        <w:rPr>
          <w:rFonts w:cstheme="minorHAnsi"/>
        </w:rPr>
        <w:t>’s</w:t>
      </w:r>
      <w:r w:rsidR="00C03713" w:rsidRPr="008017BB">
        <w:rPr>
          <w:rFonts w:cstheme="minorHAnsi"/>
        </w:rPr>
        <w:t xml:space="preserve"> </w:t>
      </w:r>
      <w:r w:rsidRPr="008017BB">
        <w:rPr>
          <w:rFonts w:cstheme="minorHAnsi"/>
        </w:rPr>
        <w:t xml:space="preserve">elections, especially by international media and key US government bodies. Also, several statements by key foreign institutions were made. </w:t>
      </w:r>
    </w:p>
    <w:p w:rsidR="00BD734C" w:rsidRPr="008017BB" w:rsidRDefault="00DD1296" w:rsidP="00C210CA">
      <w:pPr>
        <w:spacing w:line="240" w:lineRule="auto"/>
        <w:jc w:val="both"/>
        <w:rPr>
          <w:rFonts w:cstheme="minorHAnsi"/>
          <w:b/>
        </w:rPr>
      </w:pPr>
      <w:r>
        <w:rPr>
          <w:rFonts w:cstheme="minorHAnsi"/>
          <w:b/>
        </w:rPr>
        <w:t xml:space="preserve">Goal 3: </w:t>
      </w:r>
      <w:r w:rsidR="00BD734C" w:rsidRPr="008017BB">
        <w:rPr>
          <w:rFonts w:cstheme="minorHAnsi"/>
          <w:b/>
        </w:rPr>
        <w:t>Tanzanian citizens and communities have access to information on natural resource</w:t>
      </w:r>
      <w:r w:rsidR="00021A1D" w:rsidRPr="008017BB">
        <w:rPr>
          <w:rFonts w:cstheme="minorHAnsi"/>
          <w:b/>
        </w:rPr>
        <w:t>s</w:t>
      </w:r>
      <w:r w:rsidR="00BD734C" w:rsidRPr="008017BB">
        <w:rPr>
          <w:rFonts w:cstheme="minorHAnsi"/>
          <w:b/>
        </w:rPr>
        <w:t xml:space="preserve"> and demand for more accountability</w:t>
      </w:r>
      <w:r>
        <w:rPr>
          <w:rFonts w:cstheme="minorHAnsi"/>
          <w:b/>
        </w:rPr>
        <w:t>.</w:t>
      </w:r>
    </w:p>
    <w:p w:rsidR="00BD734C" w:rsidRPr="008017BB" w:rsidRDefault="00BD734C" w:rsidP="00C210CA">
      <w:pPr>
        <w:spacing w:line="240" w:lineRule="auto"/>
        <w:jc w:val="both"/>
        <w:rPr>
          <w:rFonts w:cstheme="minorHAnsi"/>
        </w:rPr>
      </w:pPr>
      <w:r w:rsidRPr="008017BB">
        <w:rPr>
          <w:rFonts w:cstheme="minorHAnsi"/>
        </w:rPr>
        <w:t xml:space="preserve">Work around this area was partly affected by </w:t>
      </w:r>
      <w:r w:rsidR="00021A1D" w:rsidRPr="008017BB">
        <w:rPr>
          <w:rFonts w:cstheme="minorHAnsi"/>
        </w:rPr>
        <w:t xml:space="preserve">the general </w:t>
      </w:r>
      <w:r w:rsidRPr="008017BB">
        <w:rPr>
          <w:rFonts w:cstheme="minorHAnsi"/>
        </w:rPr>
        <w:t>elections as key groups targeted by Policy Forum’s work, including councilors, were</w:t>
      </w:r>
      <w:r w:rsidR="0009400D">
        <w:rPr>
          <w:rFonts w:cstheme="minorHAnsi"/>
        </w:rPr>
        <w:t xml:space="preserve"> busy with electoral-</w:t>
      </w:r>
      <w:r w:rsidRPr="008017BB">
        <w:rPr>
          <w:rFonts w:cstheme="minorHAnsi"/>
        </w:rPr>
        <w:t>related activities.</w:t>
      </w:r>
      <w:r w:rsidR="0009400D">
        <w:rPr>
          <w:rFonts w:cstheme="minorHAnsi"/>
        </w:rPr>
        <w:t xml:space="preserve"> </w:t>
      </w:r>
      <w:r w:rsidRPr="008017BB">
        <w:rPr>
          <w:rFonts w:cstheme="minorHAnsi"/>
        </w:rPr>
        <w:t xml:space="preserve">The project was successful in laying the ground work for collaboration between </w:t>
      </w:r>
      <w:r w:rsidR="00021A1D" w:rsidRPr="008017BB">
        <w:rPr>
          <w:rFonts w:cstheme="minorHAnsi"/>
        </w:rPr>
        <w:t xml:space="preserve">CSOs </w:t>
      </w:r>
      <w:r w:rsidRPr="008017BB">
        <w:rPr>
          <w:rFonts w:cstheme="minorHAnsi"/>
        </w:rPr>
        <w:t>and local government authorit</w:t>
      </w:r>
      <w:r w:rsidR="00021A1D" w:rsidRPr="008017BB">
        <w:rPr>
          <w:rFonts w:cstheme="minorHAnsi"/>
        </w:rPr>
        <w:t xml:space="preserve">ies </w:t>
      </w:r>
      <w:r w:rsidR="00405179">
        <w:rPr>
          <w:rFonts w:cstheme="minorHAnsi"/>
        </w:rPr>
        <w:t xml:space="preserve">in </w:t>
      </w:r>
      <w:r w:rsidRPr="008017BB">
        <w:rPr>
          <w:rFonts w:cstheme="minorHAnsi"/>
        </w:rPr>
        <w:t xml:space="preserve">the gas rich regions of Mtwara and Lindi for </w:t>
      </w:r>
      <w:r w:rsidR="00021A1D" w:rsidRPr="008017BB">
        <w:rPr>
          <w:rFonts w:cstheme="minorHAnsi"/>
        </w:rPr>
        <w:t xml:space="preserve">purposes of </w:t>
      </w:r>
      <w:r w:rsidRPr="008017BB">
        <w:rPr>
          <w:rFonts w:cstheme="minorHAnsi"/>
        </w:rPr>
        <w:t>social</w:t>
      </w:r>
      <w:r w:rsidR="00405179">
        <w:rPr>
          <w:rFonts w:cstheme="minorHAnsi"/>
        </w:rPr>
        <w:t xml:space="preserve"> accountability monitoring</w:t>
      </w:r>
      <w:r w:rsidRPr="008017BB">
        <w:rPr>
          <w:rFonts w:cstheme="minorHAnsi"/>
        </w:rPr>
        <w:t xml:space="preserve">. Local communities and actors </w:t>
      </w:r>
      <w:r w:rsidR="00021A1D" w:rsidRPr="008017BB">
        <w:rPr>
          <w:rFonts w:cstheme="minorHAnsi"/>
        </w:rPr>
        <w:t xml:space="preserve">were </w:t>
      </w:r>
      <w:r w:rsidRPr="008017BB">
        <w:rPr>
          <w:rFonts w:cstheme="minorHAnsi"/>
        </w:rPr>
        <w:t xml:space="preserve">empowered with key </w:t>
      </w:r>
      <w:r w:rsidR="00021A1D" w:rsidRPr="008017BB">
        <w:rPr>
          <w:rFonts w:cstheme="minorHAnsi"/>
        </w:rPr>
        <w:t xml:space="preserve">information </w:t>
      </w:r>
      <w:r w:rsidRPr="008017BB">
        <w:rPr>
          <w:rFonts w:cstheme="minorHAnsi"/>
        </w:rPr>
        <w:t xml:space="preserve">on the sector and </w:t>
      </w:r>
      <w:r w:rsidR="00021A1D" w:rsidRPr="008017BB">
        <w:rPr>
          <w:rFonts w:cstheme="minorHAnsi"/>
        </w:rPr>
        <w:t xml:space="preserve">the </w:t>
      </w:r>
      <w:r w:rsidRPr="008017BB">
        <w:rPr>
          <w:rFonts w:cstheme="minorHAnsi"/>
        </w:rPr>
        <w:t xml:space="preserve">policies therein, and a social accountability framework is being put in place. </w:t>
      </w:r>
    </w:p>
    <w:p w:rsidR="00BD734C" w:rsidRPr="008017BB" w:rsidRDefault="00BD734C" w:rsidP="00C210CA">
      <w:pPr>
        <w:spacing w:line="240" w:lineRule="auto"/>
        <w:jc w:val="both"/>
        <w:rPr>
          <w:rFonts w:cstheme="minorHAnsi"/>
          <w:b/>
        </w:rPr>
      </w:pPr>
      <w:r w:rsidRPr="008017BB">
        <w:rPr>
          <w:rFonts w:cstheme="minorHAnsi"/>
          <w:b/>
        </w:rPr>
        <w:lastRenderedPageBreak/>
        <w:t>Goal 4:  Pastoralist</w:t>
      </w:r>
      <w:r w:rsidR="00021A1D" w:rsidRPr="008017BB">
        <w:rPr>
          <w:rFonts w:cstheme="minorHAnsi"/>
          <w:b/>
        </w:rPr>
        <w:t>s</w:t>
      </w:r>
      <w:r w:rsidRPr="008017BB">
        <w:rPr>
          <w:rFonts w:cstheme="minorHAnsi"/>
          <w:b/>
        </w:rPr>
        <w:t>, hunters and gatherers engage with local government authorities and other policy makers to advocate for their rights.</w:t>
      </w:r>
    </w:p>
    <w:p w:rsidR="00BD734C" w:rsidRPr="008017BB" w:rsidRDefault="0009400D" w:rsidP="00C210CA">
      <w:pPr>
        <w:spacing w:line="240" w:lineRule="auto"/>
        <w:jc w:val="both"/>
        <w:rPr>
          <w:rFonts w:cstheme="minorHAnsi"/>
        </w:rPr>
      </w:pPr>
      <w:r>
        <w:rPr>
          <w:rFonts w:cstheme="minorHAnsi"/>
        </w:rPr>
        <w:t>OSIEA’s Tanzania and Food S</w:t>
      </w:r>
      <w:r w:rsidR="00BD734C" w:rsidRPr="008017BB">
        <w:rPr>
          <w:rFonts w:cstheme="minorHAnsi"/>
        </w:rPr>
        <w:t>ecurity program</w:t>
      </w:r>
      <w:r>
        <w:rPr>
          <w:rFonts w:cstheme="minorHAnsi"/>
        </w:rPr>
        <w:t>s</w:t>
      </w:r>
      <w:r w:rsidR="00BD734C" w:rsidRPr="008017BB">
        <w:rPr>
          <w:rFonts w:cstheme="minorHAnsi"/>
        </w:rPr>
        <w:t xml:space="preserve"> supported </w:t>
      </w:r>
      <w:r>
        <w:rPr>
          <w:rFonts w:cstheme="minorHAnsi"/>
        </w:rPr>
        <w:t xml:space="preserve">the </w:t>
      </w:r>
      <w:r w:rsidR="00BD734C" w:rsidRPr="008017BB">
        <w:rPr>
          <w:rFonts w:cstheme="minorHAnsi"/>
        </w:rPr>
        <w:t xml:space="preserve">Community Research and Development Services (CORDS) to promote land rights as a means </w:t>
      </w:r>
      <w:r w:rsidR="00405179">
        <w:rPr>
          <w:rFonts w:cstheme="minorHAnsi"/>
        </w:rPr>
        <w:t xml:space="preserve">of realizing </w:t>
      </w:r>
      <w:r w:rsidR="00BD734C" w:rsidRPr="008017BB">
        <w:rPr>
          <w:rFonts w:cstheme="minorHAnsi"/>
        </w:rPr>
        <w:t>food security</w:t>
      </w:r>
      <w:r w:rsidR="00405179">
        <w:rPr>
          <w:rFonts w:cstheme="minorHAnsi"/>
        </w:rPr>
        <w:t xml:space="preserve">. This grant </w:t>
      </w:r>
      <w:r>
        <w:rPr>
          <w:rFonts w:cstheme="minorHAnsi"/>
        </w:rPr>
        <w:t xml:space="preserve">was </w:t>
      </w:r>
      <w:r w:rsidR="00405179">
        <w:rPr>
          <w:rFonts w:cstheme="minorHAnsi"/>
        </w:rPr>
        <w:t>also intended</w:t>
      </w:r>
      <w:r w:rsidR="00021A1D" w:rsidRPr="008017BB">
        <w:rPr>
          <w:rFonts w:cstheme="minorHAnsi"/>
        </w:rPr>
        <w:t xml:space="preserve"> to </w:t>
      </w:r>
      <w:r w:rsidR="00BD734C" w:rsidRPr="008017BB">
        <w:rPr>
          <w:rFonts w:cstheme="minorHAnsi"/>
        </w:rPr>
        <w:t xml:space="preserve">enable pastoral communities to participate in decision making at grassroots level and advocate for their rights. </w:t>
      </w:r>
      <w:r w:rsidR="00405179">
        <w:rPr>
          <w:rFonts w:cstheme="minorHAnsi"/>
        </w:rPr>
        <w:t>A</w:t>
      </w:r>
      <w:r w:rsidR="00BD734C" w:rsidRPr="008017BB">
        <w:rPr>
          <w:rFonts w:cstheme="minorHAnsi"/>
        </w:rPr>
        <w:t xml:space="preserve"> major challenge </w:t>
      </w:r>
      <w:r w:rsidR="00405179">
        <w:rPr>
          <w:rFonts w:cstheme="minorHAnsi"/>
        </w:rPr>
        <w:t>n</w:t>
      </w:r>
      <w:r w:rsidR="00BD734C" w:rsidRPr="008017BB">
        <w:rPr>
          <w:rFonts w:cstheme="minorHAnsi"/>
        </w:rPr>
        <w:t>eed</w:t>
      </w:r>
      <w:r w:rsidR="00405179">
        <w:rPr>
          <w:rFonts w:cstheme="minorHAnsi"/>
        </w:rPr>
        <w:t>ing</w:t>
      </w:r>
      <w:r w:rsidR="00BD734C" w:rsidRPr="008017BB">
        <w:rPr>
          <w:rFonts w:cstheme="minorHAnsi"/>
        </w:rPr>
        <w:t xml:space="preserve"> </w:t>
      </w:r>
      <w:r w:rsidR="00405179">
        <w:rPr>
          <w:rFonts w:cstheme="minorHAnsi"/>
        </w:rPr>
        <w:t xml:space="preserve">attention is the conflict between </w:t>
      </w:r>
      <w:r>
        <w:rPr>
          <w:rFonts w:cstheme="minorHAnsi"/>
        </w:rPr>
        <w:t>pastoral and farmer</w:t>
      </w:r>
      <w:r w:rsidR="00BD734C" w:rsidRPr="008017BB">
        <w:rPr>
          <w:rFonts w:cstheme="minorHAnsi"/>
        </w:rPr>
        <w:t>s</w:t>
      </w:r>
      <w:r>
        <w:rPr>
          <w:rFonts w:cstheme="minorHAnsi"/>
        </w:rPr>
        <w:t>’</w:t>
      </w:r>
      <w:r w:rsidR="00BD734C" w:rsidRPr="008017BB">
        <w:rPr>
          <w:rFonts w:cstheme="minorHAnsi"/>
        </w:rPr>
        <w:t xml:space="preserve"> communities</w:t>
      </w:r>
      <w:r>
        <w:rPr>
          <w:rFonts w:cstheme="minorHAnsi"/>
        </w:rPr>
        <w:t xml:space="preserve">, which </w:t>
      </w:r>
      <w:r w:rsidR="00BD734C" w:rsidRPr="008017BB">
        <w:rPr>
          <w:rFonts w:cstheme="minorHAnsi"/>
        </w:rPr>
        <w:t xml:space="preserve">result from land conflicts that have left people injured and </w:t>
      </w:r>
      <w:r>
        <w:rPr>
          <w:rFonts w:cstheme="minorHAnsi"/>
        </w:rPr>
        <w:t>claimed the lives of others</w:t>
      </w:r>
      <w:r w:rsidR="00BD734C" w:rsidRPr="008017BB">
        <w:rPr>
          <w:rFonts w:cstheme="minorHAnsi"/>
        </w:rPr>
        <w:t xml:space="preserve">. </w:t>
      </w:r>
    </w:p>
    <w:p w:rsidR="00BD734C" w:rsidRPr="008017BB" w:rsidRDefault="00D37E02" w:rsidP="00C210CA">
      <w:pPr>
        <w:spacing w:line="240" w:lineRule="auto"/>
        <w:jc w:val="both"/>
        <w:rPr>
          <w:rFonts w:cstheme="minorHAnsi"/>
        </w:rPr>
      </w:pPr>
      <w:r>
        <w:rPr>
          <w:rFonts w:cstheme="minorHAnsi"/>
          <w:b/>
        </w:rPr>
        <w:t xml:space="preserve">Goal 5: </w:t>
      </w:r>
      <w:r w:rsidR="00BD734C" w:rsidRPr="008017BB">
        <w:rPr>
          <w:rFonts w:cstheme="minorHAnsi"/>
          <w:b/>
        </w:rPr>
        <w:t>Civil society organizations provide acce</w:t>
      </w:r>
      <w:r>
        <w:rPr>
          <w:rFonts w:cstheme="minorHAnsi"/>
          <w:b/>
        </w:rPr>
        <w:t>ss to timely legal protection for</w:t>
      </w:r>
      <w:r w:rsidR="00BD734C" w:rsidRPr="008017BB">
        <w:rPr>
          <w:rFonts w:cstheme="minorHAnsi"/>
          <w:b/>
        </w:rPr>
        <w:t xml:space="preserve"> marginalized communities in mining areas</w:t>
      </w:r>
      <w:r>
        <w:rPr>
          <w:rFonts w:cstheme="minorHAnsi"/>
          <w:b/>
        </w:rPr>
        <w:t>.</w:t>
      </w:r>
    </w:p>
    <w:p w:rsidR="00BD734C" w:rsidRPr="008017BB" w:rsidRDefault="00021A1D" w:rsidP="00C210CA">
      <w:pPr>
        <w:spacing w:line="240" w:lineRule="auto"/>
        <w:jc w:val="both"/>
        <w:rPr>
          <w:rFonts w:cstheme="minorHAnsi"/>
        </w:rPr>
      </w:pPr>
      <w:r w:rsidRPr="008017BB">
        <w:rPr>
          <w:rFonts w:cstheme="minorHAnsi"/>
        </w:rPr>
        <w:t xml:space="preserve">OSIEA </w:t>
      </w:r>
      <w:r w:rsidR="00BD734C" w:rsidRPr="008017BB">
        <w:rPr>
          <w:rFonts w:cstheme="minorHAnsi"/>
        </w:rPr>
        <w:t xml:space="preserve">grantee Hakimadini continued to provide education on land and mining rights, and legal services to small scale miners through its newly established legal protection desk. Paralegal training </w:t>
      </w:r>
      <w:r w:rsidR="00405179">
        <w:rPr>
          <w:rFonts w:cstheme="minorHAnsi"/>
        </w:rPr>
        <w:t xml:space="preserve">was </w:t>
      </w:r>
      <w:r w:rsidR="00BD734C" w:rsidRPr="008017BB">
        <w:rPr>
          <w:rFonts w:cstheme="minorHAnsi"/>
        </w:rPr>
        <w:t>offered to small scale miners in over five regions of Tanzania to empower them on thei</w:t>
      </w:r>
      <w:r w:rsidR="00405179">
        <w:rPr>
          <w:rFonts w:cstheme="minorHAnsi"/>
        </w:rPr>
        <w:t>r rights and how to access them.</w:t>
      </w:r>
    </w:p>
    <w:p w:rsidR="00BD734C" w:rsidRPr="008017BB" w:rsidRDefault="00BD734C" w:rsidP="00C210CA">
      <w:pPr>
        <w:spacing w:line="240" w:lineRule="auto"/>
        <w:jc w:val="both"/>
        <w:rPr>
          <w:rFonts w:cstheme="minorHAnsi"/>
          <w:b/>
        </w:rPr>
      </w:pPr>
      <w:r w:rsidRPr="008017BB">
        <w:rPr>
          <w:rFonts w:cstheme="minorHAnsi"/>
          <w:b/>
        </w:rPr>
        <w:t>Goal 6:</w:t>
      </w:r>
      <w:r w:rsidRPr="008017BB" w:rsidDel="001B7EE0">
        <w:rPr>
          <w:rFonts w:cstheme="minorHAnsi"/>
          <w:b/>
        </w:rPr>
        <w:t xml:space="preserve"> </w:t>
      </w:r>
      <w:r w:rsidRPr="008017BB">
        <w:rPr>
          <w:rFonts w:cstheme="minorHAnsi"/>
          <w:b/>
        </w:rPr>
        <w:t xml:space="preserve"> A safe and tolerant environment for human rights defenders and journalists at risk.</w:t>
      </w:r>
    </w:p>
    <w:p w:rsidR="00BD734C" w:rsidRPr="008017BB" w:rsidRDefault="00BD734C" w:rsidP="00C210CA">
      <w:pPr>
        <w:spacing w:line="240" w:lineRule="auto"/>
        <w:jc w:val="both"/>
        <w:rPr>
          <w:rFonts w:cstheme="minorHAnsi"/>
        </w:rPr>
      </w:pPr>
      <w:r w:rsidRPr="008017BB">
        <w:rPr>
          <w:rFonts w:cstheme="minorHAnsi"/>
        </w:rPr>
        <w:t>OSIEA</w:t>
      </w:r>
      <w:r w:rsidR="00405179">
        <w:rPr>
          <w:rFonts w:cstheme="minorHAnsi"/>
        </w:rPr>
        <w:t xml:space="preserve"> </w:t>
      </w:r>
      <w:r w:rsidRPr="008017BB">
        <w:rPr>
          <w:rFonts w:cstheme="minorHAnsi"/>
        </w:rPr>
        <w:t xml:space="preserve">continued to support </w:t>
      </w:r>
      <w:r w:rsidR="00405179">
        <w:rPr>
          <w:rFonts w:cstheme="minorHAnsi"/>
        </w:rPr>
        <w:t xml:space="preserve">human rights </w:t>
      </w:r>
      <w:r w:rsidRPr="008017BB">
        <w:rPr>
          <w:rFonts w:cstheme="minorHAnsi"/>
        </w:rPr>
        <w:t>protection</w:t>
      </w:r>
      <w:r w:rsidR="00405179">
        <w:rPr>
          <w:rFonts w:cstheme="minorHAnsi"/>
        </w:rPr>
        <w:t xml:space="preserve"> </w:t>
      </w:r>
      <w:r w:rsidR="00021A1D" w:rsidRPr="008017BB">
        <w:rPr>
          <w:rFonts w:cstheme="minorHAnsi"/>
        </w:rPr>
        <w:t xml:space="preserve">by </w:t>
      </w:r>
      <w:r w:rsidRPr="008017BB">
        <w:rPr>
          <w:rFonts w:cstheme="minorHAnsi"/>
        </w:rPr>
        <w:t xml:space="preserve">working closely with </w:t>
      </w:r>
      <w:r w:rsidR="00021A1D" w:rsidRPr="008017BB">
        <w:rPr>
          <w:rFonts w:cstheme="minorHAnsi"/>
        </w:rPr>
        <w:t xml:space="preserve">the </w:t>
      </w:r>
      <w:r w:rsidRPr="008017BB">
        <w:rPr>
          <w:rFonts w:cstheme="minorHAnsi"/>
        </w:rPr>
        <w:t>Tanzania Human Righ</w:t>
      </w:r>
      <w:r w:rsidR="00D37E02">
        <w:rPr>
          <w:rFonts w:cstheme="minorHAnsi"/>
        </w:rPr>
        <w:t xml:space="preserve">ts Defenders Coalition (THRDC). </w:t>
      </w:r>
      <w:r w:rsidR="00834851">
        <w:rPr>
          <w:rFonts w:cstheme="minorHAnsi"/>
        </w:rPr>
        <w:t xml:space="preserve">OSIEA has, </w:t>
      </w:r>
      <w:r w:rsidRPr="008017BB">
        <w:rPr>
          <w:rFonts w:cstheme="minorHAnsi"/>
        </w:rPr>
        <w:t xml:space="preserve">through THRDC, supported </w:t>
      </w:r>
      <w:r w:rsidR="00D37E02">
        <w:rPr>
          <w:rFonts w:cstheme="minorHAnsi"/>
        </w:rPr>
        <w:t>the creation of</w:t>
      </w:r>
      <w:r w:rsidRPr="008017BB">
        <w:rPr>
          <w:rFonts w:cstheme="minorHAnsi"/>
        </w:rPr>
        <w:t xml:space="preserve"> a safe and enabling environment for journalists and other HRDs especially during the 2015 elections. </w:t>
      </w:r>
    </w:p>
    <w:p w:rsidR="00BD734C" w:rsidRPr="008017BB" w:rsidRDefault="00021A1D" w:rsidP="00C210CA">
      <w:pPr>
        <w:spacing w:line="240" w:lineRule="auto"/>
        <w:jc w:val="both"/>
        <w:rPr>
          <w:rFonts w:cstheme="minorHAnsi"/>
        </w:rPr>
      </w:pPr>
      <w:r w:rsidRPr="008017BB">
        <w:rPr>
          <w:rFonts w:cstheme="minorHAnsi"/>
        </w:rPr>
        <w:t xml:space="preserve">OSIEA also supported the </w:t>
      </w:r>
      <w:r w:rsidR="00BD734C" w:rsidRPr="008017BB">
        <w:rPr>
          <w:rFonts w:cstheme="minorHAnsi"/>
        </w:rPr>
        <w:t>creation of an online version of Mwanahalisi (a newspaper that was banned in Tanzania)</w:t>
      </w:r>
      <w:r w:rsidR="00D37E02">
        <w:rPr>
          <w:rFonts w:cstheme="minorHAnsi"/>
        </w:rPr>
        <w:t xml:space="preserve"> – </w:t>
      </w:r>
      <w:r w:rsidR="00C315EA">
        <w:rPr>
          <w:rFonts w:cstheme="minorHAnsi"/>
        </w:rPr>
        <w:t xml:space="preserve">fortunately </w:t>
      </w:r>
      <w:r w:rsidR="00D37E02">
        <w:rPr>
          <w:rFonts w:cstheme="minorHAnsi"/>
        </w:rPr>
        <w:t>M</w:t>
      </w:r>
      <w:r w:rsidRPr="008017BB">
        <w:rPr>
          <w:rFonts w:cstheme="minorHAnsi"/>
        </w:rPr>
        <w:t xml:space="preserve">wanahalisi </w:t>
      </w:r>
      <w:r w:rsidR="00BD734C" w:rsidRPr="008017BB">
        <w:rPr>
          <w:rFonts w:cstheme="minorHAnsi"/>
        </w:rPr>
        <w:t>won the case</w:t>
      </w:r>
      <w:r w:rsidRPr="008017BB">
        <w:rPr>
          <w:rFonts w:cstheme="minorHAnsi"/>
        </w:rPr>
        <w:t xml:space="preserve"> it instituted against its banning </w:t>
      </w:r>
      <w:r w:rsidR="00BD734C" w:rsidRPr="008017BB">
        <w:rPr>
          <w:rFonts w:cstheme="minorHAnsi"/>
        </w:rPr>
        <w:t>and resumed its operations. However, challenges still exist in the field</w:t>
      </w:r>
      <w:r w:rsidRPr="008017BB">
        <w:rPr>
          <w:rFonts w:cstheme="minorHAnsi"/>
        </w:rPr>
        <w:t xml:space="preserve">. </w:t>
      </w:r>
      <w:r w:rsidR="00BD734C" w:rsidRPr="008017BB">
        <w:rPr>
          <w:rFonts w:cstheme="minorHAnsi"/>
        </w:rPr>
        <w:t>Mwanahalisi</w:t>
      </w:r>
      <w:r w:rsidRPr="008017BB">
        <w:rPr>
          <w:rFonts w:cstheme="minorHAnsi"/>
        </w:rPr>
        <w:t xml:space="preserve">’s </w:t>
      </w:r>
      <w:r w:rsidR="00BD734C" w:rsidRPr="008017BB">
        <w:rPr>
          <w:rFonts w:cstheme="minorHAnsi"/>
        </w:rPr>
        <w:t xml:space="preserve">successor, Mawio, </w:t>
      </w:r>
      <w:r w:rsidRPr="008017BB">
        <w:rPr>
          <w:rFonts w:cstheme="minorHAnsi"/>
        </w:rPr>
        <w:t xml:space="preserve">was </w:t>
      </w:r>
      <w:r w:rsidR="00BD734C" w:rsidRPr="008017BB">
        <w:rPr>
          <w:rFonts w:cstheme="minorHAnsi"/>
        </w:rPr>
        <w:t>banned</w:t>
      </w:r>
      <w:r w:rsidR="00C315EA">
        <w:rPr>
          <w:rFonts w:cstheme="minorHAnsi"/>
        </w:rPr>
        <w:t xml:space="preserve"> at the beginning of 2016</w:t>
      </w:r>
      <w:r w:rsidR="00BD734C" w:rsidRPr="008017BB">
        <w:rPr>
          <w:rFonts w:cstheme="minorHAnsi"/>
        </w:rPr>
        <w:t xml:space="preserve"> by the </w:t>
      </w:r>
      <w:r w:rsidRPr="008017BB">
        <w:rPr>
          <w:rFonts w:cstheme="minorHAnsi"/>
        </w:rPr>
        <w:t>g</w:t>
      </w:r>
      <w:r w:rsidR="00BD734C" w:rsidRPr="008017BB">
        <w:rPr>
          <w:rFonts w:cstheme="minorHAnsi"/>
        </w:rPr>
        <w:t>overnment</w:t>
      </w:r>
      <w:r w:rsidRPr="008017BB">
        <w:rPr>
          <w:rFonts w:cstheme="minorHAnsi"/>
        </w:rPr>
        <w:t xml:space="preserve">. In addition, </w:t>
      </w:r>
      <w:r w:rsidR="00BD734C" w:rsidRPr="008017BB">
        <w:rPr>
          <w:rFonts w:cstheme="minorHAnsi"/>
        </w:rPr>
        <w:t xml:space="preserve">oppressive laws such as </w:t>
      </w:r>
      <w:r w:rsidRPr="008017BB">
        <w:rPr>
          <w:rFonts w:cstheme="minorHAnsi"/>
        </w:rPr>
        <w:t xml:space="preserve">the </w:t>
      </w:r>
      <w:r w:rsidR="00BD734C" w:rsidRPr="008017BB">
        <w:rPr>
          <w:rFonts w:cstheme="minorHAnsi"/>
        </w:rPr>
        <w:t xml:space="preserve">Cybercrime Act and </w:t>
      </w:r>
      <w:r w:rsidRPr="008017BB">
        <w:rPr>
          <w:rFonts w:cstheme="minorHAnsi"/>
        </w:rPr>
        <w:t xml:space="preserve">the </w:t>
      </w:r>
      <w:r w:rsidR="00BD734C" w:rsidRPr="008017BB">
        <w:rPr>
          <w:rFonts w:cstheme="minorHAnsi"/>
        </w:rPr>
        <w:t xml:space="preserve">Statistics Act </w:t>
      </w:r>
      <w:r w:rsidR="00D431CE">
        <w:rPr>
          <w:rFonts w:cstheme="minorHAnsi"/>
        </w:rPr>
        <w:t xml:space="preserve">were </w:t>
      </w:r>
      <w:r w:rsidR="00BD734C" w:rsidRPr="008017BB">
        <w:rPr>
          <w:rFonts w:cstheme="minorHAnsi"/>
        </w:rPr>
        <w:t xml:space="preserve">used to </w:t>
      </w:r>
      <w:r w:rsidR="00D431CE">
        <w:rPr>
          <w:rFonts w:cstheme="minorHAnsi"/>
        </w:rPr>
        <w:t>violate the f</w:t>
      </w:r>
      <w:r w:rsidR="00BD734C" w:rsidRPr="008017BB">
        <w:rPr>
          <w:rFonts w:cstheme="minorHAnsi"/>
        </w:rPr>
        <w:t>reedom of expression</w:t>
      </w:r>
      <w:r w:rsidRPr="008017BB">
        <w:rPr>
          <w:rFonts w:cstheme="minorHAnsi"/>
        </w:rPr>
        <w:t xml:space="preserve"> in the country.</w:t>
      </w:r>
      <w:r w:rsidR="0052655F">
        <w:rPr>
          <w:rFonts w:cstheme="minorHAnsi"/>
        </w:rPr>
        <w:t xml:space="preserve"> </w:t>
      </w:r>
    </w:p>
    <w:p w:rsidR="004C6C6F" w:rsidRDefault="004C6C6F" w:rsidP="00C210CA">
      <w:pPr>
        <w:spacing w:line="240" w:lineRule="auto"/>
        <w:jc w:val="both"/>
        <w:rPr>
          <w:rStyle w:val="IntenseEmphasis"/>
          <w:rFonts w:eastAsia="Calibri" w:cstheme="minorHAnsi"/>
          <w:b w:val="0"/>
          <w:bCs w:val="0"/>
        </w:rPr>
      </w:pPr>
      <w:r>
        <w:rPr>
          <w:rStyle w:val="IntenseEmphasis"/>
          <w:rFonts w:cstheme="minorHAnsi"/>
        </w:rPr>
        <w:br w:type="page"/>
      </w:r>
    </w:p>
    <w:p w:rsidR="005F697F" w:rsidRPr="00BE7450" w:rsidRDefault="005F697F" w:rsidP="005F697F">
      <w:pPr>
        <w:spacing w:line="240" w:lineRule="auto"/>
        <w:jc w:val="both"/>
        <w:rPr>
          <w:rFonts w:cstheme="minorHAnsi"/>
          <w:b/>
          <w:i/>
          <w:color w:val="C00000"/>
        </w:rPr>
      </w:pPr>
      <w:r w:rsidRPr="00BE7450">
        <w:rPr>
          <w:rFonts w:cstheme="minorHAnsi"/>
          <w:b/>
          <w:i/>
          <w:color w:val="C00000"/>
        </w:rPr>
        <w:lastRenderedPageBreak/>
        <w:t>UGANDA</w:t>
      </w:r>
    </w:p>
    <w:p w:rsidR="005F697F" w:rsidRPr="008017BB" w:rsidRDefault="00D60D7F" w:rsidP="005F697F">
      <w:pPr>
        <w:spacing w:line="240" w:lineRule="auto"/>
        <w:jc w:val="both"/>
        <w:rPr>
          <w:rFonts w:cstheme="minorHAnsi"/>
          <w:b/>
        </w:rPr>
      </w:pPr>
      <w:r>
        <w:rPr>
          <w:rStyle w:val="IntenseEmphasis"/>
          <w:rFonts w:cstheme="minorHAnsi"/>
        </w:rPr>
        <w:pict>
          <v:rect id="_x0000_i1029" style="width:0;height:1.5pt" o:hralign="center" o:hrstd="t" o:hr="t" fillcolor="#a0a0a0" stroked="f"/>
        </w:pict>
      </w:r>
    </w:p>
    <w:p w:rsidR="005F697F" w:rsidRPr="008017BB" w:rsidRDefault="005F697F" w:rsidP="005F697F">
      <w:pPr>
        <w:spacing w:line="240" w:lineRule="auto"/>
        <w:jc w:val="both"/>
        <w:rPr>
          <w:rFonts w:cstheme="minorHAnsi"/>
          <w:b/>
        </w:rPr>
      </w:pPr>
      <w:r w:rsidRPr="008017BB">
        <w:rPr>
          <w:rFonts w:cstheme="minorHAnsi"/>
          <w:b/>
        </w:rPr>
        <w:t>Goal 1: Enhancing citizen participation to safeguard the rule of law</w:t>
      </w:r>
      <w:r>
        <w:rPr>
          <w:rFonts w:cstheme="minorHAnsi"/>
          <w:b/>
        </w:rPr>
        <w:t xml:space="preserve">. </w:t>
      </w:r>
    </w:p>
    <w:p w:rsidR="005F697F" w:rsidRDefault="005F697F" w:rsidP="005F697F">
      <w:pPr>
        <w:spacing w:line="240" w:lineRule="auto"/>
        <w:jc w:val="both"/>
        <w:rPr>
          <w:rFonts w:cstheme="minorHAnsi"/>
        </w:rPr>
      </w:pPr>
      <w:r>
        <w:rPr>
          <w:rFonts w:cstheme="minorHAnsi"/>
        </w:rPr>
        <w:t>I</w:t>
      </w:r>
      <w:r w:rsidRPr="008017BB">
        <w:rPr>
          <w:rFonts w:cstheme="minorHAnsi"/>
        </w:rPr>
        <w:t xml:space="preserve">n 2015 </w:t>
      </w:r>
      <w:r>
        <w:rPr>
          <w:rFonts w:cstheme="minorHAnsi"/>
        </w:rPr>
        <w:t>the Uganda p</w:t>
      </w:r>
      <w:r w:rsidRPr="008017BB">
        <w:rPr>
          <w:rFonts w:cstheme="minorHAnsi"/>
        </w:rPr>
        <w:t xml:space="preserve">rogram supported the United Religious Initiative (URI) to assist voters from three districts surrounding Kampala to begin documenting candidates’ promises in Uganda’s 2016 electoral process as a step towards monitoring their fulfillment after the elections. Voters were mobilized to sustainably hold their candidates accountable beyond the campaign period. </w:t>
      </w:r>
    </w:p>
    <w:p w:rsidR="005F697F" w:rsidRPr="008017BB" w:rsidRDefault="005F697F" w:rsidP="005F697F">
      <w:pPr>
        <w:spacing w:line="240" w:lineRule="auto"/>
        <w:jc w:val="both"/>
        <w:rPr>
          <w:rFonts w:cstheme="minorHAnsi"/>
        </w:rPr>
      </w:pPr>
      <w:r w:rsidRPr="008017BB">
        <w:rPr>
          <w:rFonts w:cstheme="minorHAnsi"/>
        </w:rPr>
        <w:t>Secondly</w:t>
      </w:r>
      <w:r>
        <w:rPr>
          <w:rFonts w:cstheme="minorHAnsi"/>
        </w:rPr>
        <w:t>, support to</w:t>
      </w:r>
      <w:r w:rsidRPr="008017BB">
        <w:rPr>
          <w:rFonts w:cstheme="minorHAnsi"/>
        </w:rPr>
        <w:t xml:space="preserve"> Kituo Cha Katiba in partnership with the Human Rights and Peace Centre (HURIPEC) started in June to create spaces for citizens’ critical engagement with electoral issues as a way of achieving effective citizen participation in the 201</w:t>
      </w:r>
      <w:r>
        <w:rPr>
          <w:rFonts w:cstheme="minorHAnsi"/>
        </w:rPr>
        <w:t>6</w:t>
      </w:r>
      <w:r w:rsidRPr="008017BB">
        <w:rPr>
          <w:rFonts w:cstheme="minorHAnsi"/>
        </w:rPr>
        <w:t xml:space="preserve"> elections. East Africa’s electoral experiences and good practices were incorporated into these engagements to enrich citizens’ appreciation of the processes in the region. Finally, working through the Women Lawyers’ Association (FIDA-Uganda), OSIEA facilitated the produ</w:t>
      </w:r>
      <w:r>
        <w:rPr>
          <w:rFonts w:cstheme="minorHAnsi"/>
        </w:rPr>
        <w:t>ction of briefs for</w:t>
      </w:r>
      <w:r w:rsidRPr="008017BB">
        <w:rPr>
          <w:rFonts w:cstheme="minorHAnsi"/>
        </w:rPr>
        <w:t xml:space="preserve"> international and national election observers. The Kituo-HURIPEC research made a significant contribution to the information material produced by FIDA. </w:t>
      </w:r>
    </w:p>
    <w:p w:rsidR="005F697F" w:rsidRPr="008017BB" w:rsidRDefault="005F697F" w:rsidP="005F697F">
      <w:pPr>
        <w:spacing w:line="240" w:lineRule="auto"/>
        <w:jc w:val="both"/>
        <w:rPr>
          <w:rFonts w:cstheme="minorHAnsi"/>
        </w:rPr>
      </w:pPr>
      <w:r w:rsidRPr="008017BB">
        <w:rPr>
          <w:rFonts w:cstheme="minorHAnsi"/>
        </w:rPr>
        <w:t>The grant to Kigo Thinkers, an emerging think tank that provides space for debates on national and topical issues, sustained rigorous discourse on current matters as wide ranging as national budgets, pensio</w:t>
      </w:r>
      <w:r w:rsidR="00107944">
        <w:rPr>
          <w:rFonts w:cstheme="minorHAnsi"/>
        </w:rPr>
        <w:t>n liberalization, food security</w:t>
      </w:r>
      <w:r w:rsidRPr="008017BB">
        <w:rPr>
          <w:rFonts w:cstheme="minorHAnsi"/>
        </w:rPr>
        <w:t xml:space="preserve"> and land. The effort attempted to combine intellectual rigor w</w:t>
      </w:r>
      <w:r>
        <w:rPr>
          <w:rFonts w:cstheme="minorHAnsi"/>
        </w:rPr>
        <w:t xml:space="preserve">ith practical experience and </w:t>
      </w:r>
      <w:r w:rsidRPr="008017BB">
        <w:rPr>
          <w:rFonts w:cstheme="minorHAnsi"/>
        </w:rPr>
        <w:t xml:space="preserve">has moved the discourse on national matters away from official spaces like parliament and universities to spaces where the public can participate. It also attempted to bring senior government bureaucrats to the public space and enable them to participate as citizens. </w:t>
      </w:r>
    </w:p>
    <w:p w:rsidR="005F697F" w:rsidRDefault="005F697F" w:rsidP="005F697F">
      <w:pPr>
        <w:spacing w:line="240" w:lineRule="auto"/>
        <w:jc w:val="both"/>
        <w:rPr>
          <w:rFonts w:cstheme="minorHAnsi"/>
        </w:rPr>
      </w:pPr>
      <w:r w:rsidRPr="008017BB">
        <w:rPr>
          <w:rFonts w:cstheme="minorHAnsi"/>
        </w:rPr>
        <w:t xml:space="preserve">The Uganda </w:t>
      </w:r>
      <w:r w:rsidR="00985BBB">
        <w:rPr>
          <w:rFonts w:cstheme="minorHAnsi"/>
        </w:rPr>
        <w:t>p</w:t>
      </w:r>
      <w:r w:rsidRPr="008017BB">
        <w:rPr>
          <w:rFonts w:cstheme="minorHAnsi"/>
        </w:rPr>
        <w:t xml:space="preserve">rogram identified a one-stop litigation centre, which is also a coalition, to address various repressive pieces of legislation. OSIEA’s support to </w:t>
      </w:r>
      <w:r w:rsidR="00985BBB">
        <w:rPr>
          <w:rFonts w:cstheme="minorHAnsi"/>
        </w:rPr>
        <w:t xml:space="preserve">the </w:t>
      </w:r>
      <w:r w:rsidRPr="008017BB">
        <w:rPr>
          <w:rFonts w:cstheme="minorHAnsi"/>
        </w:rPr>
        <w:t xml:space="preserve">Centre for Public Interest Litigation (CEPIL), has led to public interest litigation from relevant courts in Uganda and in East Africa. For example the partnership has sought to repeal the Press and Journalists Act, the Communications Act and criminal defamation in the Penal Code. </w:t>
      </w:r>
    </w:p>
    <w:p w:rsidR="005F697F" w:rsidRPr="008017BB" w:rsidRDefault="005F697F" w:rsidP="005F697F">
      <w:pPr>
        <w:spacing w:line="240" w:lineRule="auto"/>
        <w:jc w:val="both"/>
        <w:rPr>
          <w:rFonts w:cstheme="minorHAnsi"/>
        </w:rPr>
      </w:pPr>
      <w:r w:rsidRPr="008017BB">
        <w:rPr>
          <w:rFonts w:cstheme="minorHAnsi"/>
        </w:rPr>
        <w:t xml:space="preserve">The Uganda program continued to coordinate efforts with other </w:t>
      </w:r>
      <w:r w:rsidR="00985BBB">
        <w:rPr>
          <w:rFonts w:cstheme="minorHAnsi"/>
        </w:rPr>
        <w:t xml:space="preserve">OSIEA and </w:t>
      </w:r>
      <w:r w:rsidRPr="008017BB">
        <w:rPr>
          <w:rFonts w:cstheme="minorHAnsi"/>
        </w:rPr>
        <w:t>OSF entit</w:t>
      </w:r>
      <w:r w:rsidR="00985BBB">
        <w:rPr>
          <w:rFonts w:cstheme="minorHAnsi"/>
        </w:rPr>
        <w:t>ies like the Health and Rights program and</w:t>
      </w:r>
      <w:r w:rsidRPr="008017BB">
        <w:rPr>
          <w:rFonts w:cstheme="minorHAnsi"/>
        </w:rPr>
        <w:t xml:space="preserve"> </w:t>
      </w:r>
      <w:r w:rsidR="00985BBB">
        <w:rPr>
          <w:rFonts w:cstheme="minorHAnsi"/>
        </w:rPr>
        <w:t xml:space="preserve">OSF’s </w:t>
      </w:r>
      <w:r w:rsidRPr="008017BB">
        <w:rPr>
          <w:rFonts w:cstheme="minorHAnsi"/>
        </w:rPr>
        <w:t xml:space="preserve">Human Rights Initiative (HRI) to fight the Anti-Homosexuality Act. This effort contributed to slowing down the government and to the eventual declaration of unconstitutionality of the Act. </w:t>
      </w:r>
    </w:p>
    <w:p w:rsidR="005F697F" w:rsidRPr="008017BB" w:rsidRDefault="005F697F" w:rsidP="005F697F">
      <w:pPr>
        <w:spacing w:line="240" w:lineRule="auto"/>
        <w:jc w:val="both"/>
        <w:rPr>
          <w:rFonts w:cstheme="minorHAnsi"/>
        </w:rPr>
      </w:pPr>
      <w:r w:rsidRPr="008017BB">
        <w:rPr>
          <w:rFonts w:cstheme="minorHAnsi"/>
        </w:rPr>
        <w:t>The Uganda program provided legal aid to alternative political voices. In this regard, the numbers of be</w:t>
      </w:r>
      <w:r w:rsidR="00985BBB">
        <w:rPr>
          <w:rFonts w:cstheme="minorHAnsi"/>
        </w:rPr>
        <w:t>neficiaries supported by Street L</w:t>
      </w:r>
      <w:r w:rsidRPr="008017BB">
        <w:rPr>
          <w:rFonts w:cstheme="minorHAnsi"/>
        </w:rPr>
        <w:t xml:space="preserve">aw Uganda increased in 2015. This is largely due to the fact that 2015 saw an escalation of political activities in the lead-up to the 2016 general elections. This work is more established in Kampala. </w:t>
      </w:r>
    </w:p>
    <w:p w:rsidR="005F697F" w:rsidRPr="008017BB" w:rsidRDefault="005F697F" w:rsidP="005F697F">
      <w:pPr>
        <w:spacing w:line="240" w:lineRule="auto"/>
        <w:jc w:val="both"/>
        <w:rPr>
          <w:rFonts w:cstheme="minorHAnsi"/>
          <w:b/>
        </w:rPr>
      </w:pPr>
      <w:r w:rsidRPr="008017BB">
        <w:rPr>
          <w:rFonts w:cstheme="minorHAnsi"/>
          <w:b/>
        </w:rPr>
        <w:t>Goal 2: Increasing the participation of special interest groups in elections</w:t>
      </w:r>
      <w:r w:rsidR="00985BBB">
        <w:rPr>
          <w:rFonts w:cstheme="minorHAnsi"/>
          <w:b/>
        </w:rPr>
        <w:t>.</w:t>
      </w:r>
    </w:p>
    <w:p w:rsidR="005F697F" w:rsidRPr="008017BB" w:rsidRDefault="005F697F" w:rsidP="005F697F">
      <w:pPr>
        <w:spacing w:line="240" w:lineRule="auto"/>
        <w:jc w:val="both"/>
        <w:rPr>
          <w:rFonts w:cstheme="minorHAnsi"/>
        </w:rPr>
      </w:pPr>
      <w:r w:rsidRPr="008017BB">
        <w:rPr>
          <w:rFonts w:cstheme="minorHAnsi"/>
        </w:rPr>
        <w:t xml:space="preserve">Through Facilitation for Peace and Development (FAPAD), women voters in the Lango sub-region of northern Uganda were able to raise issues around the government’s response to sexual and gender based violence as electoral issues. </w:t>
      </w:r>
    </w:p>
    <w:p w:rsidR="00C76EA9" w:rsidRDefault="00C76EA9" w:rsidP="005F697F">
      <w:pPr>
        <w:spacing w:line="240" w:lineRule="auto"/>
        <w:jc w:val="both"/>
        <w:rPr>
          <w:rFonts w:cstheme="minorHAnsi"/>
          <w:b/>
        </w:rPr>
      </w:pPr>
    </w:p>
    <w:p w:rsidR="00C76EA9" w:rsidRDefault="00C76EA9" w:rsidP="005F697F">
      <w:pPr>
        <w:spacing w:line="240" w:lineRule="auto"/>
        <w:jc w:val="both"/>
        <w:rPr>
          <w:rFonts w:cstheme="minorHAnsi"/>
          <w:b/>
        </w:rPr>
      </w:pPr>
    </w:p>
    <w:p w:rsidR="005F697F" w:rsidRPr="008017BB" w:rsidRDefault="005F697F" w:rsidP="005F697F">
      <w:pPr>
        <w:spacing w:line="240" w:lineRule="auto"/>
        <w:jc w:val="both"/>
        <w:rPr>
          <w:rFonts w:cstheme="minorHAnsi"/>
          <w:b/>
        </w:rPr>
      </w:pPr>
      <w:r w:rsidRPr="008017BB">
        <w:rPr>
          <w:rFonts w:cstheme="minorHAnsi"/>
          <w:b/>
        </w:rPr>
        <w:lastRenderedPageBreak/>
        <w:t>Goal 3: Strengthen narratives of an inclusive national identity that respects diversity a</w:t>
      </w:r>
      <w:r w:rsidR="00985BBB">
        <w:rPr>
          <w:rFonts w:cstheme="minorHAnsi"/>
          <w:b/>
        </w:rPr>
        <w:t xml:space="preserve">nd promotes unity and stability. </w:t>
      </w:r>
    </w:p>
    <w:p w:rsidR="005F697F" w:rsidRDefault="005F697F" w:rsidP="005F697F">
      <w:pPr>
        <w:spacing w:line="240" w:lineRule="auto"/>
        <w:jc w:val="both"/>
        <w:rPr>
          <w:rFonts w:cstheme="minorHAnsi"/>
        </w:rPr>
      </w:pPr>
      <w:r w:rsidRPr="008017BB">
        <w:rPr>
          <w:rFonts w:cstheme="minorHAnsi"/>
        </w:rPr>
        <w:t>Kigo Thinkers sought to re-ignite debates on what best knowledge, policies and practices could hold Uganda together as an entity. This was done through challenging brutal, inhuman and unviable government pol</w:t>
      </w:r>
      <w:r w:rsidR="00985BBB">
        <w:rPr>
          <w:rFonts w:cstheme="minorHAnsi"/>
        </w:rPr>
        <w:t>icies like taxation, land, food</w:t>
      </w:r>
      <w:r w:rsidRPr="008017BB">
        <w:rPr>
          <w:rFonts w:cstheme="minorHAnsi"/>
        </w:rPr>
        <w:t xml:space="preserve"> and finance</w:t>
      </w:r>
      <w:r w:rsidRPr="008017BB">
        <w:rPr>
          <w:rFonts w:cstheme="minorHAnsi"/>
          <w:color w:val="FF0000"/>
        </w:rPr>
        <w:t xml:space="preserve"> </w:t>
      </w:r>
      <w:r w:rsidRPr="008017BB">
        <w:rPr>
          <w:rFonts w:cstheme="minorHAnsi"/>
        </w:rPr>
        <w:t>in the short, medium and long</w:t>
      </w:r>
      <w:r w:rsidR="00631E6B">
        <w:rPr>
          <w:rFonts w:cstheme="minorHAnsi"/>
        </w:rPr>
        <w:t xml:space="preserve"> </w:t>
      </w:r>
      <w:r w:rsidRPr="008017BB">
        <w:rPr>
          <w:rFonts w:cstheme="minorHAnsi"/>
        </w:rPr>
        <w:t xml:space="preserve">terms. </w:t>
      </w:r>
    </w:p>
    <w:p w:rsidR="005F697F" w:rsidRPr="008017BB" w:rsidRDefault="005F697F" w:rsidP="005F697F">
      <w:pPr>
        <w:spacing w:line="240" w:lineRule="auto"/>
        <w:jc w:val="both"/>
        <w:rPr>
          <w:rFonts w:cstheme="minorHAnsi"/>
          <w:color w:val="FF0000"/>
        </w:rPr>
      </w:pPr>
      <w:r w:rsidRPr="008017BB">
        <w:rPr>
          <w:rFonts w:cstheme="minorHAnsi"/>
        </w:rPr>
        <w:t>Marcus Garvey Pan-African University wound up its two-year project on the narrat</w:t>
      </w:r>
      <w:r w:rsidR="009A181E">
        <w:rPr>
          <w:rFonts w:cstheme="minorHAnsi"/>
        </w:rPr>
        <w:t>ives for social cohesion</w:t>
      </w:r>
      <w:r w:rsidRPr="008017BB">
        <w:rPr>
          <w:rFonts w:cstheme="minorHAnsi"/>
        </w:rPr>
        <w:t xml:space="preserve">. Through this work OSIEA appreciated the significance of giving space and voice to bottom-up narratives from diverse communities in the country and amplifying these voices through radio and other media. </w:t>
      </w:r>
    </w:p>
    <w:p w:rsidR="005F697F" w:rsidRPr="008017BB" w:rsidRDefault="005F697F" w:rsidP="005F697F">
      <w:pPr>
        <w:spacing w:line="240" w:lineRule="auto"/>
        <w:jc w:val="both"/>
        <w:rPr>
          <w:rFonts w:cstheme="minorHAnsi"/>
          <w:b/>
        </w:rPr>
      </w:pPr>
      <w:r w:rsidRPr="008017BB">
        <w:rPr>
          <w:rFonts w:cstheme="minorHAnsi"/>
          <w:b/>
        </w:rPr>
        <w:t>Goal 4: Developments in the minerals and oil industry, land compensation and environmental impacts are made public</w:t>
      </w:r>
      <w:r w:rsidR="009A181E">
        <w:rPr>
          <w:rFonts w:cstheme="minorHAnsi"/>
          <w:b/>
        </w:rPr>
        <w:t>.</w:t>
      </w:r>
    </w:p>
    <w:p w:rsidR="005F697F" w:rsidRDefault="005F697F" w:rsidP="005F697F">
      <w:pPr>
        <w:spacing w:line="240" w:lineRule="auto"/>
        <w:jc w:val="both"/>
        <w:rPr>
          <w:rFonts w:cstheme="minorHAnsi"/>
        </w:rPr>
      </w:pPr>
      <w:r w:rsidRPr="008017BB">
        <w:rPr>
          <w:rFonts w:cstheme="minorHAnsi"/>
        </w:rPr>
        <w:t xml:space="preserve">In 2015 OSIEA continued to work with a number of CSOs to strengthen communities in the oil region, to litigate for contract transparency and to provide legal aid for people displaced by developments in the oil sector. This work took place in diverse regions of the country as far apart as Lake Albert in the west, Kampala </w:t>
      </w:r>
      <w:r w:rsidR="009A181E">
        <w:rPr>
          <w:rFonts w:cstheme="minorHAnsi"/>
        </w:rPr>
        <w:t>(</w:t>
      </w:r>
      <w:r w:rsidRPr="008017BB">
        <w:rPr>
          <w:rFonts w:cstheme="minorHAnsi"/>
        </w:rPr>
        <w:t>central</w:t>
      </w:r>
      <w:r w:rsidR="009A181E">
        <w:rPr>
          <w:rFonts w:cstheme="minorHAnsi"/>
        </w:rPr>
        <w:t>)</w:t>
      </w:r>
      <w:r w:rsidRPr="008017BB">
        <w:rPr>
          <w:rFonts w:cstheme="minorHAnsi"/>
        </w:rPr>
        <w:t xml:space="preserve"> and Karamoja in the northeast. It resulted in hundreds of peasants in Bunyoro being r</w:t>
      </w:r>
      <w:r w:rsidR="009A181E">
        <w:rPr>
          <w:rFonts w:cstheme="minorHAnsi"/>
        </w:rPr>
        <w:t>epresented in courts of law and</w:t>
      </w:r>
      <w:r w:rsidRPr="008017BB">
        <w:rPr>
          <w:rFonts w:cstheme="minorHAnsi"/>
        </w:rPr>
        <w:t xml:space="preserve"> participati</w:t>
      </w:r>
      <w:r w:rsidR="009A181E">
        <w:rPr>
          <w:rFonts w:cstheme="minorHAnsi"/>
        </w:rPr>
        <w:t>on</w:t>
      </w:r>
      <w:r w:rsidRPr="008017BB">
        <w:rPr>
          <w:rFonts w:cstheme="minorHAnsi"/>
        </w:rPr>
        <w:t xml:space="preserve"> in the development of a fair investment strategy and policy framework for minerals and livelihoods</w:t>
      </w:r>
      <w:r w:rsidR="009A181E" w:rsidRPr="009A181E">
        <w:rPr>
          <w:rFonts w:cstheme="minorHAnsi"/>
        </w:rPr>
        <w:t xml:space="preserve"> </w:t>
      </w:r>
      <w:r w:rsidR="009A181E" w:rsidRPr="008017BB">
        <w:rPr>
          <w:rFonts w:cstheme="minorHAnsi"/>
        </w:rPr>
        <w:t>in Karamoja</w:t>
      </w:r>
      <w:r w:rsidRPr="008017BB">
        <w:rPr>
          <w:rFonts w:cstheme="minorHAnsi"/>
        </w:rPr>
        <w:t xml:space="preserve">. </w:t>
      </w:r>
    </w:p>
    <w:p w:rsidR="005F697F" w:rsidRPr="008017BB" w:rsidRDefault="005F697F" w:rsidP="005F697F">
      <w:pPr>
        <w:spacing w:line="240" w:lineRule="auto"/>
        <w:jc w:val="both"/>
        <w:rPr>
          <w:rFonts w:cstheme="minorHAnsi"/>
        </w:rPr>
      </w:pPr>
      <w:r w:rsidRPr="008017BB">
        <w:rPr>
          <w:rFonts w:cstheme="minorHAnsi"/>
        </w:rPr>
        <w:t xml:space="preserve">OSIEA’s work with the National Association of Professional Environmentalists (NAPE) around sustainability villages in the oil region has continued to produce well-informed communities standing up to the aggressive oil exploration activities that threaten their livelihoods. In 2015, NAPE’s </w:t>
      </w:r>
      <w:r w:rsidRPr="009A181E">
        <w:rPr>
          <w:rFonts w:cstheme="minorHAnsi"/>
        </w:rPr>
        <w:t>Community Green Radio,</w:t>
      </w:r>
      <w:r w:rsidRPr="008017BB">
        <w:rPr>
          <w:rFonts w:cstheme="minorHAnsi"/>
        </w:rPr>
        <w:t xml:space="preserve"> which was launched in Hoima in 2014 with part support from OSIEA, became popular with its talk show on the environmental rights in the region to the extent that the organization is now contemplating purchasing and managing its own radio station.</w:t>
      </w:r>
    </w:p>
    <w:p w:rsidR="005F697F" w:rsidRPr="008017BB" w:rsidRDefault="005F697F" w:rsidP="005F697F">
      <w:pPr>
        <w:spacing w:line="240" w:lineRule="auto"/>
        <w:jc w:val="both"/>
        <w:rPr>
          <w:rFonts w:cstheme="minorHAnsi"/>
        </w:rPr>
      </w:pPr>
      <w:r w:rsidRPr="008017BB">
        <w:rPr>
          <w:rFonts w:cstheme="minorHAnsi"/>
        </w:rPr>
        <w:t xml:space="preserve">Towards the end of 2015 </w:t>
      </w:r>
      <w:r w:rsidR="009A181E">
        <w:rPr>
          <w:rFonts w:cstheme="minorHAnsi"/>
        </w:rPr>
        <w:t>the Advocates fo</w:t>
      </w:r>
      <w:r w:rsidR="009A181E" w:rsidRPr="009A181E">
        <w:rPr>
          <w:rFonts w:cstheme="minorHAnsi"/>
        </w:rPr>
        <w:t>r Natural Resources Governance and Development</w:t>
      </w:r>
      <w:r w:rsidR="009A181E">
        <w:rPr>
          <w:rFonts w:cstheme="minorHAnsi"/>
        </w:rPr>
        <w:t xml:space="preserve"> (</w:t>
      </w:r>
      <w:r w:rsidRPr="008017BB">
        <w:rPr>
          <w:rFonts w:cstheme="minorHAnsi"/>
        </w:rPr>
        <w:t>ANARDE</w:t>
      </w:r>
      <w:r w:rsidR="009A181E">
        <w:rPr>
          <w:rFonts w:cstheme="minorHAnsi"/>
        </w:rPr>
        <w:t>)</w:t>
      </w:r>
      <w:r w:rsidRPr="008017BB">
        <w:rPr>
          <w:rFonts w:cstheme="minorHAnsi"/>
        </w:rPr>
        <w:t xml:space="preserve"> started to explore a new legal framework for natural resources that will form the backbone for future advocacy. This is being done in collaboration with the Gaia Foundation and NAPE</w:t>
      </w:r>
      <w:r w:rsidR="009A181E">
        <w:rPr>
          <w:rFonts w:cstheme="minorHAnsi"/>
        </w:rPr>
        <w:t>,</w:t>
      </w:r>
      <w:r w:rsidRPr="008017BB">
        <w:rPr>
          <w:rFonts w:cstheme="minorHAnsi"/>
        </w:rPr>
        <w:t xml:space="preserve"> which have started operating in the Lake Albert region. The impact of these projects will include greater knowledge of the role of indigenous communities in natural resource governan</w:t>
      </w:r>
      <w:r w:rsidR="009A181E">
        <w:rPr>
          <w:rFonts w:cstheme="minorHAnsi"/>
        </w:rPr>
        <w:t>ce and environmental protection;</w:t>
      </w:r>
      <w:r w:rsidRPr="008017BB">
        <w:rPr>
          <w:rFonts w:cstheme="minorHAnsi"/>
        </w:rPr>
        <w:t xml:space="preserve"> sustainable food production in the context of oil extraction</w:t>
      </w:r>
      <w:r w:rsidR="009A181E">
        <w:rPr>
          <w:rFonts w:cstheme="minorHAnsi"/>
        </w:rPr>
        <w:t>;</w:t>
      </w:r>
      <w:r w:rsidRPr="008017BB">
        <w:rPr>
          <w:rFonts w:cstheme="minorHAnsi"/>
        </w:rPr>
        <w:t xml:space="preserve"> and an advocacy for a legal regime that</w:t>
      </w:r>
      <w:r w:rsidR="009A181E">
        <w:rPr>
          <w:rFonts w:cstheme="minorHAnsi"/>
        </w:rPr>
        <w:t xml:space="preserve"> recognizes aspects of nature (lakes, r</w:t>
      </w:r>
      <w:r w:rsidRPr="008017BB">
        <w:rPr>
          <w:rFonts w:cstheme="minorHAnsi"/>
        </w:rPr>
        <w:t>ivers, sacred sites) as legal entities.</w:t>
      </w:r>
    </w:p>
    <w:p w:rsidR="005F697F" w:rsidRPr="008017BB" w:rsidRDefault="005F697F" w:rsidP="005F697F">
      <w:pPr>
        <w:spacing w:line="240" w:lineRule="auto"/>
        <w:jc w:val="both"/>
        <w:rPr>
          <w:rFonts w:cstheme="minorHAnsi"/>
        </w:rPr>
      </w:pPr>
      <w:r w:rsidRPr="008017BB">
        <w:rPr>
          <w:rFonts w:cstheme="minorHAnsi"/>
        </w:rPr>
        <w:t>Finally, in October 2015, OSIEA gave a grant to the Water Governance Institute (WGI) to conduct research on water policy and on the levels of water pollution due to artisanal gold mining in Mubende District. To-date, a field trip to the gold mines has been completed and water and soil samples have been submitted to the government chemist in Entebbe. The impact of this particular activity will be to determine the levels of pollutants resulting from the use of chemicals in gold mining in the district. However the whole project will produce policy relevant information for protecting water bodies in the context of intensified mining activities in Uganda.</w:t>
      </w:r>
    </w:p>
    <w:p w:rsidR="005F697F" w:rsidRPr="008017BB" w:rsidRDefault="005F697F" w:rsidP="005F697F">
      <w:pPr>
        <w:spacing w:line="240" w:lineRule="auto"/>
        <w:jc w:val="both"/>
        <w:rPr>
          <w:rFonts w:cstheme="minorHAnsi"/>
          <w:b/>
        </w:rPr>
      </w:pPr>
      <w:r w:rsidRPr="008017BB">
        <w:rPr>
          <w:rFonts w:cstheme="minorHAnsi"/>
          <w:b/>
        </w:rPr>
        <w:t>Goal 5:  Public information is more accessible to Ugandans</w:t>
      </w:r>
      <w:r w:rsidR="009A181E">
        <w:rPr>
          <w:rFonts w:cstheme="minorHAnsi"/>
          <w:b/>
        </w:rPr>
        <w:t>.</w:t>
      </w:r>
    </w:p>
    <w:p w:rsidR="005F697F" w:rsidRDefault="009A181E" w:rsidP="005F697F">
      <w:pPr>
        <w:spacing w:line="240" w:lineRule="auto"/>
        <w:jc w:val="both"/>
        <w:rPr>
          <w:rFonts w:cstheme="minorHAnsi"/>
        </w:rPr>
      </w:pPr>
      <w:r>
        <w:rPr>
          <w:rFonts w:cstheme="minorHAnsi"/>
        </w:rPr>
        <w:t>OSIEA and OSF’ HRI</w:t>
      </w:r>
      <w:r w:rsidR="005F697F" w:rsidRPr="008017BB">
        <w:rPr>
          <w:rFonts w:cstheme="minorHAnsi"/>
        </w:rPr>
        <w:t xml:space="preserve"> pa</w:t>
      </w:r>
      <w:r w:rsidR="001C09DC">
        <w:rPr>
          <w:rFonts w:cstheme="minorHAnsi"/>
        </w:rPr>
        <w:t>rtnered with Collaboration on International IC</w:t>
      </w:r>
      <w:r w:rsidR="001C09DC" w:rsidRPr="00346953">
        <w:rPr>
          <w:rFonts w:cstheme="minorHAnsi"/>
        </w:rPr>
        <w:t>T Poli</w:t>
      </w:r>
      <w:r w:rsidR="001C09DC">
        <w:rPr>
          <w:rFonts w:cstheme="minorHAnsi"/>
        </w:rPr>
        <w:t>cy in East and Southern Africa (</w:t>
      </w:r>
      <w:r w:rsidR="005F697F">
        <w:rPr>
          <w:rFonts w:cstheme="minorHAnsi"/>
        </w:rPr>
        <w:t>CIPESA</w:t>
      </w:r>
      <w:r w:rsidR="001C09DC">
        <w:rPr>
          <w:rFonts w:cstheme="minorHAnsi"/>
        </w:rPr>
        <w:t>)</w:t>
      </w:r>
      <w:r w:rsidR="005F697F">
        <w:rPr>
          <w:rFonts w:cstheme="minorHAnsi"/>
        </w:rPr>
        <w:t xml:space="preserve"> </w:t>
      </w:r>
      <w:r w:rsidR="005F697F" w:rsidRPr="008017BB">
        <w:rPr>
          <w:rFonts w:cstheme="minorHAnsi"/>
        </w:rPr>
        <w:t xml:space="preserve">to leverage </w:t>
      </w:r>
      <w:r w:rsidR="001C09DC">
        <w:rPr>
          <w:rFonts w:cstheme="minorHAnsi"/>
        </w:rPr>
        <w:t>Information and Communications Technologies (</w:t>
      </w:r>
      <w:r w:rsidR="005F697F" w:rsidRPr="008017BB">
        <w:rPr>
          <w:rFonts w:cstheme="minorHAnsi"/>
        </w:rPr>
        <w:t>ICTs</w:t>
      </w:r>
      <w:r w:rsidR="001C09DC">
        <w:rPr>
          <w:rFonts w:cstheme="minorHAnsi"/>
        </w:rPr>
        <w:t>)</w:t>
      </w:r>
      <w:r w:rsidR="005F697F" w:rsidRPr="008017BB">
        <w:rPr>
          <w:rFonts w:cstheme="minorHAnsi"/>
        </w:rPr>
        <w:t xml:space="preserve"> to access public information. By the end of its life, the project had launched 197 requests through its web portal known as </w:t>
      </w:r>
      <w:hyperlink r:id="rId11" w:history="1">
        <w:r w:rsidR="001C09DC" w:rsidRPr="008F3CB3">
          <w:rPr>
            <w:rStyle w:val="Hyperlink"/>
            <w:rFonts w:cstheme="minorHAnsi"/>
          </w:rPr>
          <w:t>www.askyourgov.ug</w:t>
        </w:r>
      </w:hyperlink>
      <w:r w:rsidR="005F697F" w:rsidRPr="008017BB">
        <w:rPr>
          <w:rFonts w:cstheme="minorHAnsi"/>
        </w:rPr>
        <w:t xml:space="preserve">. Through this process lessons have been learnt on how government provides </w:t>
      </w:r>
      <w:r w:rsidR="001C09DC">
        <w:rPr>
          <w:rFonts w:cstheme="minorHAnsi"/>
        </w:rPr>
        <w:t xml:space="preserve">some </w:t>
      </w:r>
      <w:r w:rsidR="005F697F" w:rsidRPr="008017BB">
        <w:rPr>
          <w:rFonts w:cstheme="minorHAnsi"/>
        </w:rPr>
        <w:t>information and how it denies</w:t>
      </w:r>
      <w:r w:rsidR="001C09DC">
        <w:rPr>
          <w:rFonts w:cstheme="minorHAnsi"/>
        </w:rPr>
        <w:t xml:space="preserve"> others,</w:t>
      </w:r>
      <w:r w:rsidR="005F697F" w:rsidRPr="008017BB">
        <w:rPr>
          <w:rFonts w:cstheme="minorHAnsi"/>
        </w:rPr>
        <w:t xml:space="preserve"> disguised in one protected form or another. For example most land grabbing requests were categorized under cabinet record</w:t>
      </w:r>
      <w:r w:rsidR="0008061D">
        <w:rPr>
          <w:rFonts w:cstheme="minorHAnsi"/>
        </w:rPr>
        <w:t>s</w:t>
      </w:r>
      <w:r w:rsidR="005F697F" w:rsidRPr="008017BB">
        <w:rPr>
          <w:rFonts w:cstheme="minorHAnsi"/>
        </w:rPr>
        <w:t xml:space="preserve">/minutes which are protected by the law. A </w:t>
      </w:r>
      <w:r w:rsidR="005F697F" w:rsidRPr="008017BB">
        <w:rPr>
          <w:rFonts w:cstheme="minorHAnsi"/>
        </w:rPr>
        <w:lastRenderedPageBreak/>
        <w:t xml:space="preserve">culture of citizens requesting and receiving information and of CSOs engaging the state on the categorization of information for the purposes of denying it is slowly being established. </w:t>
      </w:r>
    </w:p>
    <w:p w:rsidR="005F697F" w:rsidRPr="008017BB" w:rsidRDefault="005F697F" w:rsidP="005F697F">
      <w:pPr>
        <w:spacing w:line="240" w:lineRule="auto"/>
        <w:jc w:val="both"/>
        <w:rPr>
          <w:rFonts w:cstheme="minorHAnsi"/>
        </w:rPr>
      </w:pPr>
      <w:r w:rsidRPr="008017BB">
        <w:rPr>
          <w:rFonts w:cstheme="minorHAnsi"/>
        </w:rPr>
        <w:t>Throughout 2015 OSIEA worked with Dan Ngabirano, an OSIEA-sponsored Harvard alumnus, to advocate for the right to information in regard to the current pension liberalization bill. He did this through supporting various civil society organizations but also through working directly with parliament and other governmental bodies. Dan’s part</w:t>
      </w:r>
      <w:r w:rsidR="00F42BB3">
        <w:rPr>
          <w:rFonts w:cstheme="minorHAnsi"/>
        </w:rPr>
        <w:t>icular contribution consisted of</w:t>
      </w:r>
      <w:r w:rsidRPr="008017BB">
        <w:rPr>
          <w:rFonts w:cstheme="minorHAnsi"/>
        </w:rPr>
        <w:t xml:space="preserve"> identifying access to information and other governance issues in the bill. His argument was, and remains, that </w:t>
      </w:r>
      <w:r>
        <w:rPr>
          <w:rFonts w:cstheme="minorHAnsi"/>
        </w:rPr>
        <w:t xml:space="preserve">what matters </w:t>
      </w:r>
      <w:r w:rsidR="0071385E">
        <w:rPr>
          <w:rFonts w:cstheme="minorHAnsi"/>
        </w:rPr>
        <w:t xml:space="preserve">is </w:t>
      </w:r>
      <w:r w:rsidRPr="008017BB">
        <w:rPr>
          <w:rFonts w:cstheme="minorHAnsi"/>
        </w:rPr>
        <w:t xml:space="preserve">not </w:t>
      </w:r>
      <w:r>
        <w:rPr>
          <w:rFonts w:cstheme="minorHAnsi"/>
        </w:rPr>
        <w:t xml:space="preserve">about </w:t>
      </w:r>
      <w:r w:rsidRPr="008017BB">
        <w:rPr>
          <w:rFonts w:cstheme="minorHAnsi"/>
        </w:rPr>
        <w:t>privatization and liberalization of the pension sector but rather the level of transparency and efficiency where the sector is/will be administered. This argu</w:t>
      </w:r>
      <w:r>
        <w:rPr>
          <w:rFonts w:cstheme="minorHAnsi"/>
        </w:rPr>
        <w:t>ment contributed to the questioning</w:t>
      </w:r>
      <w:r w:rsidRPr="008017BB">
        <w:rPr>
          <w:rFonts w:cstheme="minorHAnsi"/>
        </w:rPr>
        <w:t xml:space="preserve"> of the bill that had already been brought to the floor o</w:t>
      </w:r>
      <w:r w:rsidR="0071385E">
        <w:rPr>
          <w:rFonts w:cstheme="minorHAnsi"/>
        </w:rPr>
        <w:t>f</w:t>
      </w:r>
      <w:r w:rsidRPr="008017BB">
        <w:rPr>
          <w:rFonts w:cstheme="minorHAnsi"/>
        </w:rPr>
        <w:t xml:space="preserve"> parliament.  </w:t>
      </w:r>
    </w:p>
    <w:p w:rsidR="005F697F" w:rsidRPr="008017BB" w:rsidRDefault="005F697F" w:rsidP="005F697F">
      <w:pPr>
        <w:spacing w:line="240" w:lineRule="auto"/>
        <w:jc w:val="both"/>
        <w:rPr>
          <w:rFonts w:cstheme="minorHAnsi"/>
          <w:b/>
        </w:rPr>
      </w:pPr>
      <w:r w:rsidRPr="008017BB">
        <w:rPr>
          <w:rFonts w:cstheme="minorHAnsi"/>
        </w:rPr>
        <w:t xml:space="preserve">The grant OSIEA made to Hub for Investigative Media (HIM) played the role of raising public awareness </w:t>
      </w:r>
      <w:r w:rsidR="0071385E">
        <w:rPr>
          <w:rFonts w:cstheme="minorHAnsi"/>
        </w:rPr>
        <w:t xml:space="preserve">of </w:t>
      </w:r>
      <w:r w:rsidRPr="008017BB">
        <w:rPr>
          <w:rFonts w:cstheme="minorHAnsi"/>
        </w:rPr>
        <w:t>the Access to Information Law</w:t>
      </w:r>
      <w:r w:rsidR="0071385E">
        <w:rPr>
          <w:rFonts w:cstheme="minorHAnsi"/>
        </w:rPr>
        <w:t xml:space="preserve">, and </w:t>
      </w:r>
      <w:r w:rsidRPr="008017BB">
        <w:rPr>
          <w:rFonts w:cstheme="minorHAnsi"/>
        </w:rPr>
        <w:t xml:space="preserve">also facilitated litigation based on this law. In February, May and October HIM won three </w:t>
      </w:r>
      <w:r w:rsidR="0071385E">
        <w:rPr>
          <w:rFonts w:cstheme="minorHAnsi"/>
        </w:rPr>
        <w:t xml:space="preserve">court </w:t>
      </w:r>
      <w:r w:rsidRPr="008017BB">
        <w:rPr>
          <w:rFonts w:cstheme="minorHAnsi"/>
        </w:rPr>
        <w:t xml:space="preserve">cases consecutively. More cases are in the pipeline and may be concluded in 2016. This grant </w:t>
      </w:r>
      <w:r w:rsidR="0005683E">
        <w:rPr>
          <w:rFonts w:cstheme="minorHAnsi"/>
        </w:rPr>
        <w:t xml:space="preserve">also </w:t>
      </w:r>
      <w:r w:rsidRPr="008017BB">
        <w:rPr>
          <w:rFonts w:cstheme="minorHAnsi"/>
        </w:rPr>
        <w:t xml:space="preserve">contributes to the culture of seeking for information in government hands and litigating in the event that this information is not readily forthcoming. </w:t>
      </w:r>
    </w:p>
    <w:p w:rsidR="005F697F" w:rsidRPr="008017BB" w:rsidRDefault="005F697F" w:rsidP="005F697F">
      <w:pPr>
        <w:spacing w:line="240" w:lineRule="auto"/>
        <w:jc w:val="both"/>
        <w:rPr>
          <w:rFonts w:cstheme="minorHAnsi"/>
        </w:rPr>
      </w:pPr>
      <w:r w:rsidRPr="008017BB">
        <w:rPr>
          <w:rFonts w:cstheme="minorHAnsi"/>
          <w:b/>
        </w:rPr>
        <w:t>Goal 6:  Rights of marginalized groups, including women and pastoralists are observed</w:t>
      </w:r>
      <w:r w:rsidR="0005683E">
        <w:rPr>
          <w:rFonts w:cstheme="minorHAnsi"/>
          <w:b/>
        </w:rPr>
        <w:t xml:space="preserve">. </w:t>
      </w:r>
    </w:p>
    <w:p w:rsidR="005F697F" w:rsidRPr="008017BB" w:rsidRDefault="005F697F" w:rsidP="005F697F">
      <w:pPr>
        <w:spacing w:line="240" w:lineRule="auto"/>
        <w:jc w:val="both"/>
        <w:rPr>
          <w:rFonts w:cstheme="minorHAnsi"/>
          <w:color w:val="FF0000"/>
        </w:rPr>
      </w:pPr>
      <w:r w:rsidRPr="008017BB">
        <w:rPr>
          <w:rFonts w:cstheme="minorHAnsi"/>
        </w:rPr>
        <w:t>Two coalitions, one for women in the mid-north of Uganda and another for the pastoralist organizations in the northern and northeastern parts of the country, continued to work on their issues in 2015. Amnesty International – Netherlands, which is key to the organizational sustainability of the two coalitions, continued to give them organizational support despite earlier information that it would not. Although the two projects did not achieve much as one delayed implementation while the other was winding up the grant, the overall impact was the increased human rights support to women in mid-northern Uganda and increased number of agro-pastoralists being aware of and using the human rights based approach to conflict resolution.</w:t>
      </w:r>
    </w:p>
    <w:p w:rsidR="005F697F" w:rsidRPr="008017BB" w:rsidRDefault="005F697F" w:rsidP="005F697F">
      <w:pPr>
        <w:spacing w:line="240" w:lineRule="auto"/>
        <w:jc w:val="both"/>
        <w:rPr>
          <w:rFonts w:cstheme="minorHAnsi"/>
          <w:b/>
        </w:rPr>
      </w:pPr>
      <w:r w:rsidRPr="008017BB">
        <w:rPr>
          <w:rFonts w:cstheme="minorHAnsi"/>
          <w:b/>
        </w:rPr>
        <w:t>Goal 7: A strong response and protection program for human rights defenders and journalists</w:t>
      </w:r>
      <w:r w:rsidR="00880316">
        <w:rPr>
          <w:rFonts w:cstheme="minorHAnsi"/>
          <w:b/>
        </w:rPr>
        <w:t>.</w:t>
      </w:r>
    </w:p>
    <w:p w:rsidR="005F697F" w:rsidRDefault="005F697F" w:rsidP="005F697F">
      <w:pPr>
        <w:spacing w:line="240" w:lineRule="auto"/>
        <w:jc w:val="both"/>
        <w:rPr>
          <w:rFonts w:cstheme="minorHAnsi"/>
        </w:rPr>
      </w:pPr>
      <w:r w:rsidRPr="008017BB">
        <w:rPr>
          <w:rFonts w:cstheme="minorHAnsi"/>
        </w:rPr>
        <w:t xml:space="preserve">OSIEA continued to work with the East and Horn of Africa Human Rights Defenders </w:t>
      </w:r>
      <w:r w:rsidR="00880316">
        <w:rPr>
          <w:rFonts w:cstheme="minorHAnsi"/>
        </w:rPr>
        <w:t xml:space="preserve">Project </w:t>
      </w:r>
      <w:r w:rsidRPr="008017BB">
        <w:rPr>
          <w:rFonts w:cstheme="minorHAnsi"/>
        </w:rPr>
        <w:t>(EHAHRD</w:t>
      </w:r>
      <w:r w:rsidR="00880316">
        <w:rPr>
          <w:rFonts w:cstheme="minorHAnsi"/>
        </w:rPr>
        <w:t>P</w:t>
      </w:r>
      <w:r w:rsidRPr="008017BB">
        <w:rPr>
          <w:rFonts w:cstheme="minorHAnsi"/>
        </w:rPr>
        <w:t xml:space="preserve">) to protect </w:t>
      </w:r>
      <w:r w:rsidR="00880316">
        <w:rPr>
          <w:rFonts w:cstheme="minorHAnsi"/>
        </w:rPr>
        <w:t>HRDs</w:t>
      </w:r>
      <w:r w:rsidRPr="008017BB">
        <w:rPr>
          <w:rFonts w:cstheme="minorHAnsi"/>
        </w:rPr>
        <w:t xml:space="preserve"> in Uganda. This is a collective grant given to EHAHRD</w:t>
      </w:r>
      <w:r w:rsidR="00880316">
        <w:rPr>
          <w:rFonts w:cstheme="minorHAnsi"/>
        </w:rPr>
        <w:t>P</w:t>
      </w:r>
      <w:r w:rsidRPr="008017BB">
        <w:rPr>
          <w:rFonts w:cstheme="minorHAnsi"/>
        </w:rPr>
        <w:t xml:space="preserve"> by most OSIEA entities. Its main impact is the continued presence of a confident organization whose expertise and support to</w:t>
      </w:r>
      <w:r w:rsidR="00880316">
        <w:rPr>
          <w:rFonts w:cstheme="minorHAnsi"/>
        </w:rPr>
        <w:t xml:space="preserve"> HRDs</w:t>
      </w:r>
      <w:r w:rsidRPr="008017BB">
        <w:rPr>
          <w:rFonts w:cstheme="minorHAnsi"/>
        </w:rPr>
        <w:t xml:space="preserve"> is very reliable. </w:t>
      </w:r>
      <w:r w:rsidR="00880316">
        <w:rPr>
          <w:rFonts w:cstheme="minorHAnsi"/>
        </w:rPr>
        <w:t>For instance, w</w:t>
      </w:r>
      <w:r w:rsidRPr="008017BB">
        <w:rPr>
          <w:rFonts w:cstheme="minorHAnsi"/>
        </w:rPr>
        <w:t>hen OSIEA moved to do HRD work in Burundi EHAHRD</w:t>
      </w:r>
      <w:r w:rsidR="00880316">
        <w:rPr>
          <w:rFonts w:cstheme="minorHAnsi"/>
        </w:rPr>
        <w:t>P</w:t>
      </w:r>
      <w:r w:rsidRPr="008017BB">
        <w:rPr>
          <w:rFonts w:cstheme="minorHAnsi"/>
        </w:rPr>
        <w:t xml:space="preserve"> was the first to be considered. </w:t>
      </w:r>
    </w:p>
    <w:p w:rsidR="005F697F" w:rsidRDefault="005F697F" w:rsidP="005F697F">
      <w:pPr>
        <w:spacing w:line="240" w:lineRule="auto"/>
        <w:jc w:val="both"/>
        <w:rPr>
          <w:rFonts w:cstheme="minorHAnsi"/>
        </w:rPr>
      </w:pPr>
      <w:r w:rsidRPr="008017BB">
        <w:rPr>
          <w:rFonts w:cstheme="minorHAnsi"/>
        </w:rPr>
        <w:t>The student OSIEA sponsored to study women and human rights at the UN Peace University in Costa Rica returned in 2015 and went back to her program officer job with the Soroti Development Association and NGO Network (SODAN)</w:t>
      </w:r>
      <w:r w:rsidR="006C0B75">
        <w:rPr>
          <w:rFonts w:cstheme="minorHAnsi"/>
        </w:rPr>
        <w:t>,</w:t>
      </w:r>
      <w:r w:rsidRPr="008017BB">
        <w:rPr>
          <w:rFonts w:cstheme="minorHAnsi"/>
        </w:rPr>
        <w:t xml:space="preserve"> a chair organization of the Uganda Human Rights Defenders’ Network</w:t>
      </w:r>
      <w:r w:rsidR="006C0B75">
        <w:rPr>
          <w:rFonts w:cstheme="minorHAnsi"/>
        </w:rPr>
        <w:t xml:space="preserve"> (UHRDN)</w:t>
      </w:r>
      <w:r w:rsidRPr="008017BB">
        <w:rPr>
          <w:rFonts w:cstheme="minorHAnsi"/>
        </w:rPr>
        <w:t xml:space="preserve">. OSIEA’s effort to strengthen the capacity of HRD organizations is appreciated by both </w:t>
      </w:r>
      <w:r>
        <w:rPr>
          <w:rFonts w:cstheme="minorHAnsi"/>
        </w:rPr>
        <w:t xml:space="preserve">her family and </w:t>
      </w:r>
      <w:r w:rsidRPr="008017BB">
        <w:rPr>
          <w:rFonts w:cstheme="minorHAnsi"/>
        </w:rPr>
        <w:t xml:space="preserve">organization. This kind of protection and tactical capacity building for </w:t>
      </w:r>
      <w:r w:rsidR="006C0B75">
        <w:rPr>
          <w:rFonts w:cstheme="minorHAnsi"/>
        </w:rPr>
        <w:t>HRDs</w:t>
      </w:r>
      <w:r w:rsidRPr="008017BB">
        <w:rPr>
          <w:rFonts w:cstheme="minorHAnsi"/>
        </w:rPr>
        <w:t xml:space="preserve"> enhances OSIEA’s role among HRDs and their organizations. </w:t>
      </w:r>
    </w:p>
    <w:p w:rsidR="005F697F" w:rsidRPr="008017BB" w:rsidRDefault="005F697F" w:rsidP="005F697F">
      <w:pPr>
        <w:spacing w:line="240" w:lineRule="auto"/>
        <w:jc w:val="both"/>
        <w:rPr>
          <w:rFonts w:cstheme="minorHAnsi"/>
        </w:rPr>
      </w:pPr>
      <w:r w:rsidRPr="008017BB">
        <w:rPr>
          <w:rFonts w:cstheme="minorHAnsi"/>
        </w:rPr>
        <w:t>Furthermore, Defenders Protection Initiative (DPI) and Tweraneho Listeners’ Club (TLC) focused on defending Ugandan HRDs. Their work involved</w:t>
      </w:r>
      <w:r w:rsidR="00B50B4F">
        <w:rPr>
          <w:rFonts w:cstheme="minorHAnsi"/>
        </w:rPr>
        <w:t xml:space="preserve"> mainstreaming security in CSOs’</w:t>
      </w:r>
      <w:r w:rsidRPr="008017BB">
        <w:rPr>
          <w:rFonts w:cstheme="minorHAnsi"/>
        </w:rPr>
        <w:t xml:space="preserve"> programs and strengthening the HRDs’ collective voice for self-protection.</w:t>
      </w:r>
    </w:p>
    <w:p w:rsidR="005F697F" w:rsidRPr="008017BB" w:rsidRDefault="005F697F" w:rsidP="005F697F">
      <w:pPr>
        <w:spacing w:line="240" w:lineRule="auto"/>
        <w:jc w:val="both"/>
        <w:rPr>
          <w:rFonts w:cstheme="minorHAnsi"/>
        </w:rPr>
      </w:pPr>
      <w:r>
        <w:rPr>
          <w:rFonts w:cstheme="minorHAnsi"/>
        </w:rPr>
        <w:t>With respect</w:t>
      </w:r>
      <w:r w:rsidR="00AB027D">
        <w:rPr>
          <w:rFonts w:cstheme="minorHAnsi"/>
        </w:rPr>
        <w:t xml:space="preserve"> to</w:t>
      </w:r>
      <w:r>
        <w:rPr>
          <w:rFonts w:cstheme="minorHAnsi"/>
        </w:rPr>
        <w:t xml:space="preserve"> j</w:t>
      </w:r>
      <w:r w:rsidRPr="008017BB">
        <w:rPr>
          <w:rFonts w:cstheme="minorHAnsi"/>
        </w:rPr>
        <w:t xml:space="preserve">ournalists’ rights, OSIEA’s work with </w:t>
      </w:r>
      <w:r>
        <w:rPr>
          <w:rFonts w:cstheme="minorHAnsi"/>
        </w:rPr>
        <w:t>HRNJ has reduced</w:t>
      </w:r>
      <w:r w:rsidRPr="008017BB">
        <w:rPr>
          <w:rFonts w:cstheme="minorHAnsi"/>
        </w:rPr>
        <w:t xml:space="preserve"> to documenting rights abuses and producing an annual Press Freedom Index (PFI). This organization was supported by OSIEA from inception but now </w:t>
      </w:r>
      <w:r>
        <w:rPr>
          <w:rFonts w:cstheme="minorHAnsi"/>
        </w:rPr>
        <w:t xml:space="preserve">only </w:t>
      </w:r>
      <w:r w:rsidRPr="008017BB">
        <w:rPr>
          <w:rFonts w:cstheme="minorHAnsi"/>
        </w:rPr>
        <w:t xml:space="preserve">needs very minimal support from us. HRNJ’s </w:t>
      </w:r>
      <w:r w:rsidR="00C8078E">
        <w:rPr>
          <w:rFonts w:cstheme="minorHAnsi"/>
        </w:rPr>
        <w:t>PFI</w:t>
      </w:r>
      <w:r w:rsidRPr="008017BB">
        <w:rPr>
          <w:rFonts w:cstheme="minorHAnsi"/>
        </w:rPr>
        <w:t xml:space="preserve"> remains the only indigenous media rights monitoring system in the country.</w:t>
      </w:r>
    </w:p>
    <w:p w:rsidR="005F697F" w:rsidRPr="008017BB" w:rsidRDefault="005F697F" w:rsidP="005F697F">
      <w:pPr>
        <w:spacing w:line="240" w:lineRule="auto"/>
        <w:jc w:val="both"/>
        <w:rPr>
          <w:rFonts w:cstheme="minorHAnsi"/>
          <w:b/>
        </w:rPr>
      </w:pPr>
      <w:r w:rsidRPr="008017BB">
        <w:rPr>
          <w:rFonts w:cstheme="minorHAnsi"/>
          <w:b/>
        </w:rPr>
        <w:lastRenderedPageBreak/>
        <w:t>OSIEA</w:t>
      </w:r>
      <w:r w:rsidR="00C8078E">
        <w:rPr>
          <w:rFonts w:cstheme="minorHAnsi"/>
          <w:b/>
        </w:rPr>
        <w:t xml:space="preserve"> INITIATIVE: BATWA RIGHTS</w:t>
      </w:r>
    </w:p>
    <w:p w:rsidR="005F697F" w:rsidRPr="0025780C" w:rsidRDefault="005F697F" w:rsidP="005F697F">
      <w:pPr>
        <w:spacing w:line="240" w:lineRule="auto"/>
        <w:jc w:val="both"/>
        <w:rPr>
          <w:rStyle w:val="IntenseEmphasis"/>
          <w:rFonts w:cstheme="minorHAnsi"/>
          <w:b w:val="0"/>
          <w:bCs w:val="0"/>
          <w:i w:val="0"/>
          <w:iCs w:val="0"/>
          <w:color w:val="auto"/>
        </w:rPr>
      </w:pPr>
      <w:r w:rsidRPr="008017BB">
        <w:rPr>
          <w:rFonts w:cstheme="minorHAnsi"/>
        </w:rPr>
        <w:t>Much of 2015 should have been spent in the field documenting the Batwa narratives from their own perspective.</w:t>
      </w:r>
      <w:r w:rsidR="00EA4CCB">
        <w:rPr>
          <w:rFonts w:cstheme="minorHAnsi"/>
        </w:rPr>
        <w:t xml:space="preserve"> </w:t>
      </w:r>
      <w:r w:rsidRPr="008017BB">
        <w:rPr>
          <w:rFonts w:cstheme="minorHAnsi"/>
        </w:rPr>
        <w:t xml:space="preserve">This </w:t>
      </w:r>
      <w:r>
        <w:rPr>
          <w:rFonts w:cstheme="minorHAnsi"/>
        </w:rPr>
        <w:t xml:space="preserve">was </w:t>
      </w:r>
      <w:r w:rsidRPr="008017BB">
        <w:rPr>
          <w:rFonts w:cstheme="minorHAnsi"/>
        </w:rPr>
        <w:t>delayed due to the consultant’s busy schedule elsewhere. Howev</w:t>
      </w:r>
      <w:r w:rsidR="00EA4CCB">
        <w:rPr>
          <w:rFonts w:cstheme="minorHAnsi"/>
        </w:rPr>
        <w:t xml:space="preserve">er a film documentary concept </w:t>
      </w:r>
      <w:r w:rsidRPr="008017BB">
        <w:rPr>
          <w:rFonts w:cstheme="minorHAnsi"/>
        </w:rPr>
        <w:t xml:space="preserve">titled </w:t>
      </w:r>
      <w:r w:rsidRPr="00EA4CCB">
        <w:rPr>
          <w:rFonts w:cstheme="minorHAnsi"/>
        </w:rPr>
        <w:t xml:space="preserve">‘When Haven’t We Died: Batwa Experiences and Views of Conservation’ </w:t>
      </w:r>
      <w:r w:rsidRPr="008017BB">
        <w:rPr>
          <w:rFonts w:cstheme="minorHAnsi"/>
        </w:rPr>
        <w:t>was produced by the end of 2015 and a contract signed for film research.</w:t>
      </w:r>
      <w:r>
        <w:rPr>
          <w:rStyle w:val="IntenseEmphasis"/>
          <w:rFonts w:cstheme="minorHAnsi"/>
        </w:rPr>
        <w:br w:type="page"/>
      </w:r>
    </w:p>
    <w:p w:rsidR="00C210CA" w:rsidRDefault="00C210CA" w:rsidP="00C210CA">
      <w:pPr>
        <w:spacing w:line="240" w:lineRule="auto"/>
        <w:jc w:val="both"/>
        <w:rPr>
          <w:rStyle w:val="IntenseEmphasis"/>
          <w:rFonts w:cstheme="minorHAnsi"/>
        </w:rPr>
      </w:pPr>
      <w:r>
        <w:rPr>
          <w:rStyle w:val="IntenseEmphasis"/>
          <w:rFonts w:cstheme="minorHAnsi"/>
        </w:rPr>
        <w:lastRenderedPageBreak/>
        <w:t xml:space="preserve">HEALTH AND RIGHTS </w:t>
      </w:r>
    </w:p>
    <w:p w:rsidR="00C210CA" w:rsidRPr="008017BB" w:rsidRDefault="00D60D7F" w:rsidP="00C210CA">
      <w:pPr>
        <w:spacing w:line="240" w:lineRule="auto"/>
        <w:jc w:val="both"/>
        <w:rPr>
          <w:rStyle w:val="IntenseEmphasis"/>
          <w:rFonts w:cstheme="minorHAnsi"/>
        </w:rPr>
      </w:pPr>
      <w:r>
        <w:rPr>
          <w:rStyle w:val="IntenseEmphasis"/>
          <w:rFonts w:cstheme="minorHAnsi"/>
        </w:rPr>
        <w:pict>
          <v:rect id="_x0000_i1030" style="width:0;height:1.5pt" o:hralign="center" o:hrstd="t" o:hr="t" fillcolor="#a0a0a0" stroked="f"/>
        </w:pict>
      </w:r>
    </w:p>
    <w:p w:rsidR="00BD33D6" w:rsidRPr="00C210CA" w:rsidRDefault="00BD33D6" w:rsidP="00C210CA">
      <w:pPr>
        <w:pStyle w:val="Heading2"/>
        <w:spacing w:after="200"/>
        <w:ind w:left="0"/>
        <w:jc w:val="both"/>
        <w:rPr>
          <w:rFonts w:asciiTheme="minorHAnsi" w:hAnsiTheme="minorHAnsi" w:cstheme="minorHAnsi"/>
          <w:b w:val="0"/>
          <w:bCs w:val="0"/>
          <w:i w:val="0"/>
        </w:rPr>
      </w:pPr>
      <w:r w:rsidRPr="00C210CA">
        <w:rPr>
          <w:rFonts w:asciiTheme="minorHAnsi" w:hAnsiTheme="minorHAnsi" w:cstheme="minorHAnsi"/>
          <w:i w:val="0"/>
        </w:rPr>
        <w:t>Goal 1:  Discriminatory laws, policies and practices affecting the rights of marginalized groups such as</w:t>
      </w:r>
      <w:r w:rsidR="00C210CA" w:rsidRPr="00C210CA">
        <w:rPr>
          <w:rFonts w:asciiTheme="minorHAnsi" w:hAnsiTheme="minorHAnsi" w:cstheme="minorHAnsi"/>
          <w:i w:val="0"/>
        </w:rPr>
        <w:t xml:space="preserve"> people living with </w:t>
      </w:r>
      <w:r w:rsidR="00C210CA" w:rsidRPr="00C210CA">
        <w:rPr>
          <w:rFonts w:asciiTheme="minorHAnsi" w:hAnsiTheme="minorHAnsi" w:cstheme="minorHAnsi"/>
          <w:bCs w:val="0"/>
          <w:i w:val="0"/>
        </w:rPr>
        <w:t>HIV, sex workers, LGBTI, injecting drug users, people with mental disabilities, people in need of palliative care, and prisoners - are reviewed and amended</w:t>
      </w:r>
      <w:r w:rsidR="00C210CA">
        <w:rPr>
          <w:rFonts w:asciiTheme="minorHAnsi" w:hAnsiTheme="minorHAnsi" w:cstheme="minorHAnsi"/>
          <w:bCs w:val="0"/>
          <w:i w:val="0"/>
        </w:rPr>
        <w:t>.</w:t>
      </w:r>
    </w:p>
    <w:p w:rsidR="00BD33D6" w:rsidRPr="00C210CA" w:rsidRDefault="00D7638E" w:rsidP="00C210CA">
      <w:pPr>
        <w:pStyle w:val="BodyText"/>
        <w:spacing w:after="200"/>
        <w:ind w:left="0"/>
        <w:jc w:val="both"/>
        <w:rPr>
          <w:rFonts w:asciiTheme="minorHAnsi" w:hAnsiTheme="minorHAnsi" w:cstheme="minorHAnsi"/>
        </w:rPr>
      </w:pPr>
      <w:r w:rsidRPr="00C210CA">
        <w:rPr>
          <w:rFonts w:asciiTheme="minorHAnsi" w:hAnsiTheme="minorHAnsi" w:cstheme="minorHAnsi"/>
        </w:rPr>
        <w:t xml:space="preserve">The Health and Rights </w:t>
      </w:r>
      <w:r w:rsidR="00BD33D6" w:rsidRPr="00C210CA">
        <w:rPr>
          <w:rFonts w:asciiTheme="minorHAnsi" w:hAnsiTheme="minorHAnsi" w:cstheme="minorHAnsi"/>
        </w:rPr>
        <w:t>program supported grantees to engage the justice system</w:t>
      </w:r>
      <w:r w:rsidRPr="00C210CA">
        <w:rPr>
          <w:rFonts w:asciiTheme="minorHAnsi" w:hAnsiTheme="minorHAnsi" w:cstheme="minorHAnsi"/>
        </w:rPr>
        <w:t xml:space="preserve"> to </w:t>
      </w:r>
      <w:r w:rsidR="00BD33D6" w:rsidRPr="00C210CA">
        <w:rPr>
          <w:rFonts w:asciiTheme="minorHAnsi" w:hAnsiTheme="minorHAnsi" w:cstheme="minorHAnsi"/>
        </w:rPr>
        <w:t>seek</w:t>
      </w:r>
      <w:r w:rsidRPr="00C210CA">
        <w:rPr>
          <w:rFonts w:asciiTheme="minorHAnsi" w:hAnsiTheme="minorHAnsi" w:cstheme="minorHAnsi"/>
        </w:rPr>
        <w:t xml:space="preserve"> </w:t>
      </w:r>
      <w:r w:rsidR="00BD33D6" w:rsidRPr="00C210CA">
        <w:rPr>
          <w:rFonts w:asciiTheme="minorHAnsi" w:hAnsiTheme="minorHAnsi" w:cstheme="minorHAnsi"/>
        </w:rPr>
        <w:t>reme</w:t>
      </w:r>
      <w:r w:rsidR="00D431CE" w:rsidRPr="00C210CA">
        <w:rPr>
          <w:rFonts w:asciiTheme="minorHAnsi" w:hAnsiTheme="minorHAnsi" w:cstheme="minorHAnsi"/>
        </w:rPr>
        <w:t xml:space="preserve">dies for </w:t>
      </w:r>
      <w:r w:rsidR="00BD33D6" w:rsidRPr="00C210CA">
        <w:rPr>
          <w:rFonts w:asciiTheme="minorHAnsi" w:hAnsiTheme="minorHAnsi" w:cstheme="minorHAnsi"/>
        </w:rPr>
        <w:t>offensive laws and policies. In Kenya for instance, the High Court</w:t>
      </w:r>
      <w:r w:rsidR="00D431CE" w:rsidRPr="00C210CA">
        <w:rPr>
          <w:rFonts w:asciiTheme="minorHAnsi" w:hAnsiTheme="minorHAnsi" w:cstheme="minorHAnsi"/>
        </w:rPr>
        <w:t xml:space="preserve"> </w:t>
      </w:r>
      <w:r w:rsidR="00BD33D6" w:rsidRPr="00C210CA">
        <w:rPr>
          <w:rFonts w:asciiTheme="minorHAnsi" w:hAnsiTheme="minorHAnsi" w:cstheme="minorHAnsi"/>
        </w:rPr>
        <w:t>in a groundbreaking decision</w:t>
      </w:r>
      <w:r w:rsidR="00D431CE" w:rsidRPr="00C210CA">
        <w:rPr>
          <w:rFonts w:asciiTheme="minorHAnsi" w:hAnsiTheme="minorHAnsi" w:cstheme="minorHAnsi"/>
        </w:rPr>
        <w:t xml:space="preserve"> </w:t>
      </w:r>
      <w:r w:rsidR="00BD33D6" w:rsidRPr="00C210CA">
        <w:rPr>
          <w:rFonts w:asciiTheme="minorHAnsi" w:hAnsiTheme="minorHAnsi" w:cstheme="minorHAnsi"/>
        </w:rPr>
        <w:t xml:space="preserve">ruled in favor of granting registration to the National Gay and Lesbian Human Rights Commission (NGLHRC), </w:t>
      </w:r>
      <w:r w:rsidRPr="00C210CA">
        <w:rPr>
          <w:rFonts w:asciiTheme="minorHAnsi" w:hAnsiTheme="minorHAnsi" w:cstheme="minorHAnsi"/>
        </w:rPr>
        <w:t xml:space="preserve">which had </w:t>
      </w:r>
      <w:r w:rsidR="00BD33D6" w:rsidRPr="00C210CA">
        <w:rPr>
          <w:rFonts w:asciiTheme="minorHAnsi" w:hAnsiTheme="minorHAnsi" w:cstheme="minorHAnsi"/>
        </w:rPr>
        <w:t xml:space="preserve">been denied legal status. The </w:t>
      </w:r>
      <w:r w:rsidR="00C210CA">
        <w:rPr>
          <w:rFonts w:asciiTheme="minorHAnsi" w:hAnsiTheme="minorHAnsi" w:cstheme="minorHAnsi"/>
        </w:rPr>
        <w:t>c</w:t>
      </w:r>
      <w:r w:rsidR="00BD33D6" w:rsidRPr="00C210CA">
        <w:rPr>
          <w:rFonts w:asciiTheme="minorHAnsi" w:hAnsiTheme="minorHAnsi" w:cstheme="minorHAnsi"/>
        </w:rPr>
        <w:t>ourt</w:t>
      </w:r>
      <w:r w:rsidR="00C210CA">
        <w:rPr>
          <w:rFonts w:asciiTheme="minorHAnsi" w:hAnsiTheme="minorHAnsi" w:cstheme="minorHAnsi"/>
        </w:rPr>
        <w:t>’s</w:t>
      </w:r>
      <w:r w:rsidR="00BD33D6" w:rsidRPr="00C210CA">
        <w:rPr>
          <w:rFonts w:asciiTheme="minorHAnsi" w:hAnsiTheme="minorHAnsi" w:cstheme="minorHAnsi"/>
        </w:rPr>
        <w:t xml:space="preserve"> decision was issued in response to a petition filed by NGLHRC to register under the Non- Governmental Organizations Coordination Board Act. The Non-Governmental Organizations Coordination Board, a government body, rejected the group’s request to register in March 2013. In denying the application, the board said that the name of the organization was “unacceptable,” and that it could not register it because Kenya’s penal code “criminalizes gay and lesbian liaisons.” The court</w:t>
      </w:r>
      <w:r w:rsidR="00C210CA">
        <w:rPr>
          <w:rFonts w:asciiTheme="minorHAnsi" w:hAnsiTheme="minorHAnsi" w:cstheme="minorHAnsi"/>
        </w:rPr>
        <w:t>’s</w:t>
      </w:r>
      <w:r w:rsidR="00BD33D6" w:rsidRPr="00C210CA">
        <w:rPr>
          <w:rFonts w:asciiTheme="minorHAnsi" w:hAnsiTheme="minorHAnsi" w:cstheme="minorHAnsi"/>
        </w:rPr>
        <w:t xml:space="preserve"> decision is a significant victory for the LGBT community, not only in Kenya, but elsewhere in Africa where LGBT groups have faced similar obstacles to registration.</w:t>
      </w:r>
    </w:p>
    <w:p w:rsidR="00BD33D6" w:rsidRPr="00C210CA" w:rsidRDefault="00BD33D6" w:rsidP="00C210CA">
      <w:pPr>
        <w:pStyle w:val="BodyText"/>
        <w:spacing w:after="200"/>
        <w:ind w:left="0"/>
        <w:jc w:val="both"/>
        <w:rPr>
          <w:rFonts w:asciiTheme="minorHAnsi" w:hAnsiTheme="minorHAnsi" w:cstheme="minorHAnsi"/>
        </w:rPr>
      </w:pPr>
      <w:r w:rsidRPr="00C210CA">
        <w:rPr>
          <w:rFonts w:asciiTheme="minorHAnsi" w:hAnsiTheme="minorHAnsi" w:cstheme="minorHAnsi"/>
        </w:rPr>
        <w:t>Similarly</w:t>
      </w:r>
      <w:r w:rsidR="00C210CA">
        <w:rPr>
          <w:rFonts w:asciiTheme="minorHAnsi" w:hAnsiTheme="minorHAnsi" w:cstheme="minorHAnsi"/>
        </w:rPr>
        <w:t>,</w:t>
      </w:r>
      <w:r w:rsidRPr="00C210CA">
        <w:rPr>
          <w:rFonts w:asciiTheme="minorHAnsi" w:hAnsiTheme="minorHAnsi" w:cstheme="minorHAnsi"/>
        </w:rPr>
        <w:t xml:space="preserve"> a case filed by </w:t>
      </w:r>
      <w:r w:rsidR="004A6B5D">
        <w:rPr>
          <w:rFonts w:asciiTheme="minorHAnsi" w:hAnsiTheme="minorHAnsi" w:cstheme="minorHAnsi"/>
        </w:rPr>
        <w:t xml:space="preserve">OSIEA </w:t>
      </w:r>
      <w:r w:rsidRPr="00C210CA">
        <w:rPr>
          <w:rFonts w:asciiTheme="minorHAnsi" w:hAnsiTheme="minorHAnsi" w:cstheme="minorHAnsi"/>
        </w:rPr>
        <w:t xml:space="preserve">grantee </w:t>
      </w:r>
      <w:r w:rsidR="00900A54">
        <w:rPr>
          <w:rFonts w:asciiTheme="minorHAnsi" w:hAnsiTheme="minorHAnsi" w:cstheme="minorHAnsi"/>
        </w:rPr>
        <w:t xml:space="preserve">the </w:t>
      </w:r>
      <w:r w:rsidR="00C210CA" w:rsidRPr="00C210CA">
        <w:rPr>
          <w:rFonts w:asciiTheme="minorHAnsi" w:hAnsiTheme="minorHAnsi" w:cstheme="minorHAnsi"/>
        </w:rPr>
        <w:t xml:space="preserve">Center for Health, Human Rights and Development </w:t>
      </w:r>
      <w:r w:rsidR="00900A54">
        <w:rPr>
          <w:rFonts w:asciiTheme="minorHAnsi" w:hAnsiTheme="minorHAnsi" w:cstheme="minorHAnsi"/>
        </w:rPr>
        <w:t>(</w:t>
      </w:r>
      <w:r w:rsidRPr="00C210CA">
        <w:rPr>
          <w:rFonts w:asciiTheme="minorHAnsi" w:hAnsiTheme="minorHAnsi" w:cstheme="minorHAnsi"/>
        </w:rPr>
        <w:t>CEHURD</w:t>
      </w:r>
      <w:r w:rsidR="00900A54">
        <w:rPr>
          <w:rFonts w:asciiTheme="minorHAnsi" w:hAnsiTheme="minorHAnsi" w:cstheme="minorHAnsi"/>
        </w:rPr>
        <w:t>)</w:t>
      </w:r>
      <w:r w:rsidR="00D7638E" w:rsidRPr="00C210CA">
        <w:rPr>
          <w:rFonts w:asciiTheme="minorHAnsi" w:hAnsiTheme="minorHAnsi" w:cstheme="minorHAnsi"/>
        </w:rPr>
        <w:t xml:space="preserve"> in </w:t>
      </w:r>
      <w:r w:rsidRPr="00C210CA">
        <w:rPr>
          <w:rFonts w:asciiTheme="minorHAnsi" w:hAnsiTheme="minorHAnsi" w:cstheme="minorHAnsi"/>
        </w:rPr>
        <w:t xml:space="preserve">Uganda </w:t>
      </w:r>
      <w:r w:rsidR="00D7638E" w:rsidRPr="00C210CA">
        <w:rPr>
          <w:rFonts w:asciiTheme="minorHAnsi" w:hAnsiTheme="minorHAnsi" w:cstheme="minorHAnsi"/>
        </w:rPr>
        <w:t xml:space="preserve">saw the </w:t>
      </w:r>
      <w:r w:rsidRPr="00C210CA">
        <w:rPr>
          <w:rFonts w:asciiTheme="minorHAnsi" w:hAnsiTheme="minorHAnsi" w:cstheme="minorHAnsi"/>
        </w:rPr>
        <w:t>Supreme Court</w:t>
      </w:r>
      <w:r w:rsidR="00D7638E" w:rsidRPr="00C210CA">
        <w:rPr>
          <w:rFonts w:asciiTheme="minorHAnsi" w:hAnsiTheme="minorHAnsi" w:cstheme="minorHAnsi"/>
        </w:rPr>
        <w:t xml:space="preserve"> </w:t>
      </w:r>
      <w:r w:rsidRPr="00C210CA">
        <w:rPr>
          <w:rFonts w:asciiTheme="minorHAnsi" w:hAnsiTheme="minorHAnsi" w:cstheme="minorHAnsi"/>
        </w:rPr>
        <w:t>str</w:t>
      </w:r>
      <w:r w:rsidR="00D7638E" w:rsidRPr="00C210CA">
        <w:rPr>
          <w:rFonts w:asciiTheme="minorHAnsi" w:hAnsiTheme="minorHAnsi" w:cstheme="minorHAnsi"/>
        </w:rPr>
        <w:t>i</w:t>
      </w:r>
      <w:r w:rsidR="00D431CE" w:rsidRPr="00C210CA">
        <w:rPr>
          <w:rFonts w:asciiTheme="minorHAnsi" w:hAnsiTheme="minorHAnsi" w:cstheme="minorHAnsi"/>
        </w:rPr>
        <w:t>ke</w:t>
      </w:r>
      <w:r w:rsidRPr="00C210CA">
        <w:rPr>
          <w:rFonts w:asciiTheme="minorHAnsi" w:hAnsiTheme="minorHAnsi" w:cstheme="minorHAnsi"/>
        </w:rPr>
        <w:t xml:space="preserve"> </w:t>
      </w:r>
      <w:r w:rsidR="00D431CE" w:rsidRPr="00C210CA">
        <w:rPr>
          <w:rFonts w:asciiTheme="minorHAnsi" w:hAnsiTheme="minorHAnsi" w:cstheme="minorHAnsi"/>
        </w:rPr>
        <w:t>off</w:t>
      </w:r>
      <w:r w:rsidRPr="00C210CA">
        <w:rPr>
          <w:rFonts w:asciiTheme="minorHAnsi" w:hAnsiTheme="minorHAnsi" w:cstheme="minorHAnsi"/>
        </w:rPr>
        <w:t xml:space="preserve"> the Constitutional Court’s judgment in a case challenging the failure of the government to provide basic</w:t>
      </w:r>
      <w:r w:rsidR="002A05E1" w:rsidRPr="00C210CA">
        <w:rPr>
          <w:rFonts w:asciiTheme="minorHAnsi" w:hAnsiTheme="minorHAnsi" w:cstheme="minorHAnsi"/>
        </w:rPr>
        <w:t xml:space="preserve"> </w:t>
      </w:r>
      <w:r w:rsidRPr="00C210CA">
        <w:rPr>
          <w:rFonts w:asciiTheme="minorHAnsi" w:hAnsiTheme="minorHAnsi" w:cstheme="minorHAnsi"/>
        </w:rPr>
        <w:t>maternal health services. The court further directed that the case had merit and should be heard as such.</w:t>
      </w:r>
    </w:p>
    <w:p w:rsidR="00BD33D6" w:rsidRPr="00C210CA" w:rsidRDefault="00BD33D6" w:rsidP="00C210CA">
      <w:pPr>
        <w:pStyle w:val="BodyText"/>
        <w:spacing w:after="200"/>
        <w:ind w:left="0"/>
        <w:jc w:val="both"/>
        <w:rPr>
          <w:rFonts w:asciiTheme="minorHAnsi" w:hAnsiTheme="minorHAnsi" w:cstheme="minorHAnsi"/>
        </w:rPr>
      </w:pPr>
      <w:r w:rsidRPr="00C210CA">
        <w:rPr>
          <w:rFonts w:asciiTheme="minorHAnsi" w:hAnsiTheme="minorHAnsi" w:cstheme="minorHAnsi"/>
        </w:rPr>
        <w:t>Towards the end of the year, the program supported activities seek</w:t>
      </w:r>
      <w:r w:rsidR="00D7638E" w:rsidRPr="00C210CA">
        <w:rPr>
          <w:rFonts w:asciiTheme="minorHAnsi" w:hAnsiTheme="minorHAnsi" w:cstheme="minorHAnsi"/>
        </w:rPr>
        <w:t>ing</w:t>
      </w:r>
      <w:r w:rsidRPr="00C210CA">
        <w:rPr>
          <w:rFonts w:asciiTheme="minorHAnsi" w:hAnsiTheme="minorHAnsi" w:cstheme="minorHAnsi"/>
        </w:rPr>
        <w:t xml:space="preserve"> to consolidate an African conversation in preparation for </w:t>
      </w:r>
      <w:r w:rsidR="00900A54">
        <w:rPr>
          <w:rFonts w:asciiTheme="minorHAnsi" w:hAnsiTheme="minorHAnsi" w:cstheme="minorHAnsi"/>
        </w:rPr>
        <w:t xml:space="preserve">the </w:t>
      </w:r>
      <w:r w:rsidR="00900A54" w:rsidRPr="00900A54">
        <w:rPr>
          <w:rFonts w:asciiTheme="minorHAnsi" w:hAnsiTheme="minorHAnsi" w:cstheme="minorHAnsi"/>
        </w:rPr>
        <w:t>U</w:t>
      </w:r>
      <w:r w:rsidR="00900A54">
        <w:rPr>
          <w:rFonts w:asciiTheme="minorHAnsi" w:hAnsiTheme="minorHAnsi" w:cstheme="minorHAnsi"/>
        </w:rPr>
        <w:t xml:space="preserve">nited </w:t>
      </w:r>
      <w:r w:rsidR="00900A54" w:rsidRPr="00900A54">
        <w:rPr>
          <w:rFonts w:asciiTheme="minorHAnsi" w:hAnsiTheme="minorHAnsi" w:cstheme="minorHAnsi"/>
        </w:rPr>
        <w:t>N</w:t>
      </w:r>
      <w:r w:rsidR="00900A54">
        <w:rPr>
          <w:rFonts w:asciiTheme="minorHAnsi" w:hAnsiTheme="minorHAnsi" w:cstheme="minorHAnsi"/>
        </w:rPr>
        <w:t>ations</w:t>
      </w:r>
      <w:r w:rsidR="00900A54" w:rsidRPr="00900A54">
        <w:rPr>
          <w:rFonts w:asciiTheme="minorHAnsi" w:hAnsiTheme="minorHAnsi" w:cstheme="minorHAnsi"/>
        </w:rPr>
        <w:t xml:space="preserve"> General Assembly</w:t>
      </w:r>
      <w:r w:rsidR="00900A54">
        <w:rPr>
          <w:rFonts w:asciiTheme="minorHAnsi" w:hAnsiTheme="minorHAnsi" w:cstheme="minorHAnsi"/>
        </w:rPr>
        <w:t>’s</w:t>
      </w:r>
      <w:r w:rsidR="00900A54" w:rsidRPr="00900A54">
        <w:rPr>
          <w:rFonts w:asciiTheme="minorHAnsi" w:hAnsiTheme="minorHAnsi" w:cstheme="minorHAnsi"/>
        </w:rPr>
        <w:t xml:space="preserve"> Special Session </w:t>
      </w:r>
      <w:r w:rsidR="00900A54">
        <w:rPr>
          <w:rFonts w:asciiTheme="minorHAnsi" w:hAnsiTheme="minorHAnsi" w:cstheme="minorHAnsi"/>
        </w:rPr>
        <w:t>(</w:t>
      </w:r>
      <w:r w:rsidRPr="00C210CA">
        <w:rPr>
          <w:rFonts w:asciiTheme="minorHAnsi" w:hAnsiTheme="minorHAnsi" w:cstheme="minorHAnsi"/>
        </w:rPr>
        <w:t>UNGASS</w:t>
      </w:r>
      <w:r w:rsidR="00900A54">
        <w:rPr>
          <w:rFonts w:asciiTheme="minorHAnsi" w:hAnsiTheme="minorHAnsi" w:cstheme="minorHAnsi"/>
        </w:rPr>
        <w:t>)</w:t>
      </w:r>
      <w:r w:rsidRPr="00C210CA">
        <w:rPr>
          <w:rFonts w:asciiTheme="minorHAnsi" w:hAnsiTheme="minorHAnsi" w:cstheme="minorHAnsi"/>
        </w:rPr>
        <w:t xml:space="preserve"> 2016</w:t>
      </w:r>
      <w:r w:rsidR="00072BEB">
        <w:rPr>
          <w:rFonts w:asciiTheme="minorHAnsi" w:hAnsiTheme="minorHAnsi" w:cstheme="minorHAnsi"/>
        </w:rPr>
        <w:t xml:space="preserve"> on the world drug problem</w:t>
      </w:r>
      <w:r w:rsidRPr="00C210CA">
        <w:rPr>
          <w:rFonts w:asciiTheme="minorHAnsi" w:hAnsiTheme="minorHAnsi" w:cstheme="minorHAnsi"/>
        </w:rPr>
        <w:t xml:space="preserve">. This opened </w:t>
      </w:r>
      <w:r w:rsidR="00D7638E" w:rsidRPr="00C210CA">
        <w:rPr>
          <w:rFonts w:asciiTheme="minorHAnsi" w:hAnsiTheme="minorHAnsi" w:cstheme="minorHAnsi"/>
        </w:rPr>
        <w:t xml:space="preserve">an </w:t>
      </w:r>
      <w:r w:rsidRPr="00C210CA">
        <w:rPr>
          <w:rFonts w:asciiTheme="minorHAnsi" w:hAnsiTheme="minorHAnsi" w:cstheme="minorHAnsi"/>
        </w:rPr>
        <w:t xml:space="preserve">opportunity </w:t>
      </w:r>
      <w:r w:rsidR="00D7638E" w:rsidRPr="00C210CA">
        <w:rPr>
          <w:rFonts w:asciiTheme="minorHAnsi" w:hAnsiTheme="minorHAnsi" w:cstheme="minorHAnsi"/>
        </w:rPr>
        <w:t xml:space="preserve">to catalyze a </w:t>
      </w:r>
      <w:r w:rsidRPr="00C210CA">
        <w:rPr>
          <w:rFonts w:asciiTheme="minorHAnsi" w:hAnsiTheme="minorHAnsi" w:cstheme="minorHAnsi"/>
        </w:rPr>
        <w:t>conversation on the need to amend offending drug laws and negotiate enabling frameworks for drug control. The aim is to support the process and help governmen</w:t>
      </w:r>
      <w:r w:rsidR="00900A54">
        <w:rPr>
          <w:rFonts w:asciiTheme="minorHAnsi" w:hAnsiTheme="minorHAnsi" w:cstheme="minorHAnsi"/>
        </w:rPr>
        <w:t>ts and</w:t>
      </w:r>
      <w:r w:rsidRPr="00C210CA">
        <w:rPr>
          <w:rFonts w:asciiTheme="minorHAnsi" w:hAnsiTheme="minorHAnsi" w:cstheme="minorHAnsi"/>
        </w:rPr>
        <w:t xml:space="preserve"> civil society to rethink the </w:t>
      </w:r>
      <w:r w:rsidR="00D7638E" w:rsidRPr="00C210CA">
        <w:rPr>
          <w:rFonts w:asciiTheme="minorHAnsi" w:hAnsiTheme="minorHAnsi" w:cstheme="minorHAnsi"/>
        </w:rPr>
        <w:t xml:space="preserve">currently </w:t>
      </w:r>
      <w:r w:rsidRPr="00C210CA">
        <w:rPr>
          <w:rFonts w:asciiTheme="minorHAnsi" w:hAnsiTheme="minorHAnsi" w:cstheme="minorHAnsi"/>
        </w:rPr>
        <w:t xml:space="preserve">ineffective and dangerous approach on </w:t>
      </w:r>
      <w:r w:rsidR="00D7638E" w:rsidRPr="00C210CA">
        <w:rPr>
          <w:rFonts w:asciiTheme="minorHAnsi" w:hAnsiTheme="minorHAnsi" w:cstheme="minorHAnsi"/>
        </w:rPr>
        <w:t xml:space="preserve">the war on </w:t>
      </w:r>
      <w:r w:rsidRPr="00C210CA">
        <w:rPr>
          <w:rFonts w:asciiTheme="minorHAnsi" w:hAnsiTheme="minorHAnsi" w:cstheme="minorHAnsi"/>
        </w:rPr>
        <w:t>drug</w:t>
      </w:r>
      <w:r w:rsidR="00D7638E" w:rsidRPr="00C210CA">
        <w:rPr>
          <w:rFonts w:asciiTheme="minorHAnsi" w:hAnsiTheme="minorHAnsi" w:cstheme="minorHAnsi"/>
        </w:rPr>
        <w:t xml:space="preserve">s </w:t>
      </w:r>
      <w:r w:rsidRPr="00C210CA">
        <w:rPr>
          <w:rFonts w:asciiTheme="minorHAnsi" w:hAnsiTheme="minorHAnsi" w:cstheme="minorHAnsi"/>
        </w:rPr>
        <w:t>and choose to prioritize health, human rights and safety</w:t>
      </w:r>
      <w:r w:rsidR="00D7638E" w:rsidRPr="00C210CA">
        <w:rPr>
          <w:rFonts w:asciiTheme="minorHAnsi" w:hAnsiTheme="minorHAnsi" w:cstheme="minorHAnsi"/>
        </w:rPr>
        <w:t xml:space="preserve"> concerns first</w:t>
      </w:r>
      <w:r w:rsidRPr="00C210CA">
        <w:rPr>
          <w:rFonts w:asciiTheme="minorHAnsi" w:hAnsiTheme="minorHAnsi" w:cstheme="minorHAnsi"/>
        </w:rPr>
        <w:t>.</w:t>
      </w:r>
    </w:p>
    <w:p w:rsidR="00BD33D6" w:rsidRPr="00CF5AC0" w:rsidRDefault="00BD33D6" w:rsidP="00C210CA">
      <w:pPr>
        <w:pStyle w:val="Heading2"/>
        <w:spacing w:after="200"/>
        <w:ind w:left="0"/>
        <w:jc w:val="both"/>
        <w:rPr>
          <w:rFonts w:asciiTheme="minorHAnsi" w:hAnsiTheme="minorHAnsi" w:cstheme="minorHAnsi"/>
          <w:b w:val="0"/>
          <w:bCs w:val="0"/>
          <w:i w:val="0"/>
        </w:rPr>
      </w:pPr>
      <w:r w:rsidRPr="00CF5AC0">
        <w:rPr>
          <w:rFonts w:asciiTheme="minorHAnsi" w:hAnsiTheme="minorHAnsi" w:cstheme="minorHAnsi"/>
          <w:i w:val="0"/>
        </w:rPr>
        <w:t>Goal 2: Marginalized groups influence debates on laws, policies and practices that affect them and effectively advocate for non-discriminatory health and human rights.</w:t>
      </w:r>
    </w:p>
    <w:p w:rsidR="00BD33D6" w:rsidRDefault="00BD33D6" w:rsidP="00C210CA">
      <w:pPr>
        <w:pStyle w:val="BodyText"/>
        <w:spacing w:after="200"/>
        <w:ind w:left="0"/>
        <w:jc w:val="both"/>
        <w:rPr>
          <w:rFonts w:asciiTheme="minorHAnsi" w:hAnsiTheme="minorHAnsi" w:cstheme="minorHAnsi"/>
        </w:rPr>
      </w:pPr>
      <w:r w:rsidRPr="00C210CA">
        <w:rPr>
          <w:rFonts w:asciiTheme="minorHAnsi" w:hAnsiTheme="minorHAnsi" w:cstheme="minorHAnsi"/>
        </w:rPr>
        <w:t xml:space="preserve">In 2015, the High Court </w:t>
      </w:r>
      <w:r w:rsidR="00E11B70">
        <w:rPr>
          <w:rFonts w:asciiTheme="minorHAnsi" w:hAnsiTheme="minorHAnsi" w:cstheme="minorHAnsi"/>
        </w:rPr>
        <w:t>of</w:t>
      </w:r>
      <w:r w:rsidRPr="00C210CA">
        <w:rPr>
          <w:rFonts w:asciiTheme="minorHAnsi" w:hAnsiTheme="minorHAnsi" w:cstheme="minorHAnsi"/>
        </w:rPr>
        <w:t xml:space="preserve"> Kenya began reviewing two important cases on the human rights of people living with HIV. The first case concern</w:t>
      </w:r>
      <w:r w:rsidR="00C61961" w:rsidRPr="00C210CA">
        <w:rPr>
          <w:rFonts w:asciiTheme="minorHAnsi" w:hAnsiTheme="minorHAnsi" w:cstheme="minorHAnsi"/>
        </w:rPr>
        <w:t xml:space="preserve">ed </w:t>
      </w:r>
      <w:r w:rsidRPr="00C210CA">
        <w:rPr>
          <w:rFonts w:asciiTheme="minorHAnsi" w:hAnsiTheme="minorHAnsi" w:cstheme="minorHAnsi"/>
        </w:rPr>
        <w:t>the forced/coerced sterilization of HIV-positive women; the second challenge</w:t>
      </w:r>
      <w:r w:rsidR="00C61961" w:rsidRPr="00C210CA">
        <w:rPr>
          <w:rFonts w:asciiTheme="minorHAnsi" w:hAnsiTheme="minorHAnsi" w:cstheme="minorHAnsi"/>
        </w:rPr>
        <w:t xml:space="preserve">d </w:t>
      </w:r>
      <w:r w:rsidRPr="00C210CA">
        <w:rPr>
          <w:rFonts w:asciiTheme="minorHAnsi" w:hAnsiTheme="minorHAnsi" w:cstheme="minorHAnsi"/>
        </w:rPr>
        <w:t xml:space="preserve">a directive from Kenyan President Uhuru Kenyatta to list the names of HIV-positive individuals, including children. </w:t>
      </w:r>
      <w:r w:rsidR="00C61961" w:rsidRPr="00C210CA">
        <w:rPr>
          <w:rFonts w:asciiTheme="minorHAnsi" w:hAnsiTheme="minorHAnsi" w:cstheme="minorHAnsi"/>
        </w:rPr>
        <w:t xml:space="preserve">The </w:t>
      </w:r>
      <w:r w:rsidRPr="00C210CA">
        <w:rPr>
          <w:rFonts w:asciiTheme="minorHAnsi" w:hAnsiTheme="minorHAnsi" w:cstheme="minorHAnsi"/>
        </w:rPr>
        <w:t>Kenya Legal and Ethical Issues Network on HIV (KELIN) and Africa Gender and Media Initiative Trust (GEM) together with five wom</w:t>
      </w:r>
      <w:r w:rsidR="00D431CE" w:rsidRPr="00C210CA">
        <w:rPr>
          <w:rFonts w:asciiTheme="minorHAnsi" w:hAnsiTheme="minorHAnsi" w:cstheme="minorHAnsi"/>
        </w:rPr>
        <w:t xml:space="preserve">en </w:t>
      </w:r>
      <w:r w:rsidRPr="00C210CA">
        <w:rPr>
          <w:rFonts w:asciiTheme="minorHAnsi" w:hAnsiTheme="minorHAnsi" w:cstheme="minorHAnsi"/>
        </w:rPr>
        <w:t xml:space="preserve">living with HIV filed two petitions challenging the forced/coerced sterilization of five women living with HIV. The </w:t>
      </w:r>
      <w:r w:rsidR="00E421EE">
        <w:rPr>
          <w:rFonts w:asciiTheme="minorHAnsi" w:hAnsiTheme="minorHAnsi" w:cstheme="minorHAnsi"/>
        </w:rPr>
        <w:t>p</w:t>
      </w:r>
      <w:r w:rsidRPr="00C210CA">
        <w:rPr>
          <w:rFonts w:asciiTheme="minorHAnsi" w:hAnsiTheme="minorHAnsi" w:cstheme="minorHAnsi"/>
        </w:rPr>
        <w:t>etitioners intend</w:t>
      </w:r>
      <w:r w:rsidR="00D431CE" w:rsidRPr="00C210CA">
        <w:rPr>
          <w:rFonts w:asciiTheme="minorHAnsi" w:hAnsiTheme="minorHAnsi" w:cstheme="minorHAnsi"/>
        </w:rPr>
        <w:t>ed</w:t>
      </w:r>
      <w:r w:rsidRPr="00C210CA">
        <w:rPr>
          <w:rFonts w:asciiTheme="minorHAnsi" w:hAnsiTheme="minorHAnsi" w:cstheme="minorHAnsi"/>
        </w:rPr>
        <w:t xml:space="preserve"> to prove that as a result of the illegal and unconstitutional sterilization, several constitutional rights ha</w:t>
      </w:r>
      <w:r w:rsidR="00D431CE" w:rsidRPr="00C210CA">
        <w:rPr>
          <w:rFonts w:asciiTheme="minorHAnsi" w:hAnsiTheme="minorHAnsi" w:cstheme="minorHAnsi"/>
        </w:rPr>
        <w:t>d</w:t>
      </w:r>
      <w:r w:rsidRPr="00C210CA">
        <w:rPr>
          <w:rFonts w:asciiTheme="minorHAnsi" w:hAnsiTheme="minorHAnsi" w:cstheme="minorHAnsi"/>
        </w:rPr>
        <w:t xml:space="preserve"> been breached</w:t>
      </w:r>
      <w:r w:rsidR="00E421EE">
        <w:rPr>
          <w:rFonts w:asciiTheme="minorHAnsi" w:hAnsiTheme="minorHAnsi" w:cstheme="minorHAnsi"/>
        </w:rPr>
        <w:t>,</w:t>
      </w:r>
      <w:r w:rsidRPr="00C210CA">
        <w:rPr>
          <w:rFonts w:asciiTheme="minorHAnsi" w:hAnsiTheme="minorHAnsi" w:cstheme="minorHAnsi"/>
        </w:rPr>
        <w:t xml:space="preserve"> including but not limited to the right to life, the right to human dignity, the right to privacy, the right to access to information, </w:t>
      </w:r>
      <w:r w:rsidR="00E421EE">
        <w:rPr>
          <w:rFonts w:asciiTheme="minorHAnsi" w:hAnsiTheme="minorHAnsi" w:cstheme="minorHAnsi"/>
        </w:rPr>
        <w:t xml:space="preserve">and </w:t>
      </w:r>
      <w:r w:rsidRPr="00C210CA">
        <w:rPr>
          <w:rFonts w:asciiTheme="minorHAnsi" w:hAnsiTheme="minorHAnsi" w:cstheme="minorHAnsi"/>
        </w:rPr>
        <w:t>the right to the highest attainable standard of health which includes the right to health care services and reproductive health care, as enshrined in the 201</w:t>
      </w:r>
      <w:r w:rsidR="00E421EE">
        <w:rPr>
          <w:rFonts w:asciiTheme="minorHAnsi" w:hAnsiTheme="minorHAnsi" w:cstheme="minorHAnsi"/>
        </w:rPr>
        <w:t>0 C</w:t>
      </w:r>
      <w:r w:rsidRPr="00C210CA">
        <w:rPr>
          <w:rFonts w:asciiTheme="minorHAnsi" w:hAnsiTheme="minorHAnsi" w:cstheme="minorHAnsi"/>
        </w:rPr>
        <w:t>onstitution.</w:t>
      </w:r>
      <w:r w:rsidR="00D431CE" w:rsidRPr="00C210CA">
        <w:rPr>
          <w:rFonts w:asciiTheme="minorHAnsi" w:hAnsiTheme="minorHAnsi" w:cstheme="minorHAnsi"/>
        </w:rPr>
        <w:t xml:space="preserve"> I</w:t>
      </w:r>
      <w:r w:rsidR="00C61961" w:rsidRPr="00C210CA">
        <w:rPr>
          <w:rFonts w:asciiTheme="minorHAnsi" w:hAnsiTheme="minorHAnsi" w:cstheme="minorHAnsi"/>
        </w:rPr>
        <w:t>n</w:t>
      </w:r>
      <w:r w:rsidR="00D431CE" w:rsidRPr="00C210CA">
        <w:rPr>
          <w:rFonts w:asciiTheme="minorHAnsi" w:hAnsiTheme="minorHAnsi" w:cstheme="minorHAnsi"/>
        </w:rPr>
        <w:t xml:space="preserve"> </w:t>
      </w:r>
      <w:r w:rsidRPr="00C210CA">
        <w:rPr>
          <w:rFonts w:asciiTheme="minorHAnsi" w:hAnsiTheme="minorHAnsi" w:cstheme="minorHAnsi"/>
        </w:rPr>
        <w:t xml:space="preserve">the second case, the directive issued by the Kenyan President on </w:t>
      </w:r>
      <w:r w:rsidR="00E421EE" w:rsidRPr="00C210CA">
        <w:rPr>
          <w:rFonts w:asciiTheme="minorHAnsi" w:hAnsiTheme="minorHAnsi" w:cstheme="minorHAnsi"/>
        </w:rPr>
        <w:t>23</w:t>
      </w:r>
      <w:r w:rsidR="00E421EE">
        <w:rPr>
          <w:rFonts w:asciiTheme="minorHAnsi" w:hAnsiTheme="minorHAnsi" w:cstheme="minorHAnsi"/>
        </w:rPr>
        <w:t xml:space="preserve"> </w:t>
      </w:r>
      <w:r w:rsidRPr="00C210CA">
        <w:rPr>
          <w:rFonts w:asciiTheme="minorHAnsi" w:hAnsiTheme="minorHAnsi" w:cstheme="minorHAnsi"/>
        </w:rPr>
        <w:t xml:space="preserve">February </w:t>
      </w:r>
      <w:r w:rsidR="00E421EE">
        <w:rPr>
          <w:rFonts w:asciiTheme="minorHAnsi" w:hAnsiTheme="minorHAnsi" w:cstheme="minorHAnsi"/>
        </w:rPr>
        <w:t>2015</w:t>
      </w:r>
      <w:r w:rsidRPr="00C210CA">
        <w:rPr>
          <w:rFonts w:asciiTheme="minorHAnsi" w:hAnsiTheme="minorHAnsi" w:cstheme="minorHAnsi"/>
        </w:rPr>
        <w:t xml:space="preserve"> require</w:t>
      </w:r>
      <w:r w:rsidR="00C61961" w:rsidRPr="00C210CA">
        <w:rPr>
          <w:rFonts w:asciiTheme="minorHAnsi" w:hAnsiTheme="minorHAnsi" w:cstheme="minorHAnsi"/>
        </w:rPr>
        <w:t>d</w:t>
      </w:r>
      <w:r w:rsidRPr="00C210CA">
        <w:rPr>
          <w:rFonts w:asciiTheme="minorHAnsi" w:hAnsiTheme="minorHAnsi" w:cstheme="minorHAnsi"/>
        </w:rPr>
        <w:t xml:space="preserve"> county commissioners and the Ministries of Health, Education and Interior to collect up to date data and prepare a report on all school children living with HIV and information on their guardians. The directive further call</w:t>
      </w:r>
      <w:r w:rsidR="00C61961" w:rsidRPr="00C210CA">
        <w:rPr>
          <w:rFonts w:asciiTheme="minorHAnsi" w:hAnsiTheme="minorHAnsi" w:cstheme="minorHAnsi"/>
        </w:rPr>
        <w:t>ed</w:t>
      </w:r>
      <w:r w:rsidRPr="00C210CA">
        <w:rPr>
          <w:rFonts w:asciiTheme="minorHAnsi" w:hAnsiTheme="minorHAnsi" w:cstheme="minorHAnsi"/>
        </w:rPr>
        <w:t xml:space="preserve"> for information on expectant women and breastfeeding mothers who</w:t>
      </w:r>
      <w:r w:rsidR="00D431CE" w:rsidRPr="00C210CA">
        <w:rPr>
          <w:rFonts w:asciiTheme="minorHAnsi" w:hAnsiTheme="minorHAnsi" w:cstheme="minorHAnsi"/>
        </w:rPr>
        <w:t xml:space="preserve"> </w:t>
      </w:r>
      <w:r w:rsidR="00C61961" w:rsidRPr="00C210CA">
        <w:rPr>
          <w:rFonts w:asciiTheme="minorHAnsi" w:hAnsiTheme="minorHAnsi" w:cstheme="minorHAnsi"/>
        </w:rPr>
        <w:t xml:space="preserve">were </w:t>
      </w:r>
      <w:r w:rsidRPr="00C210CA">
        <w:rPr>
          <w:rFonts w:asciiTheme="minorHAnsi" w:hAnsiTheme="minorHAnsi" w:cstheme="minorHAnsi"/>
        </w:rPr>
        <w:t xml:space="preserve">HIV-positive. The petitioners stated that the </w:t>
      </w:r>
      <w:r w:rsidR="00E421EE">
        <w:rPr>
          <w:rFonts w:asciiTheme="minorHAnsi" w:hAnsiTheme="minorHAnsi" w:cstheme="minorHAnsi"/>
        </w:rPr>
        <w:t>g</w:t>
      </w:r>
      <w:r w:rsidRPr="00C210CA">
        <w:rPr>
          <w:rFonts w:asciiTheme="minorHAnsi" w:hAnsiTheme="minorHAnsi" w:cstheme="minorHAnsi"/>
        </w:rPr>
        <w:t xml:space="preserve">overnment agencies had proceeded to implement the directive without consulting people living with HIV/AIDS, which is considered contrary to </w:t>
      </w:r>
      <w:r w:rsidR="00E421EE">
        <w:rPr>
          <w:rFonts w:asciiTheme="minorHAnsi" w:hAnsiTheme="minorHAnsi" w:cstheme="minorHAnsi"/>
        </w:rPr>
        <w:t>A</w:t>
      </w:r>
      <w:r w:rsidRPr="00C210CA">
        <w:rPr>
          <w:rFonts w:asciiTheme="minorHAnsi" w:hAnsiTheme="minorHAnsi" w:cstheme="minorHAnsi"/>
        </w:rPr>
        <w:t>rticle 10 of the Kenyan Constitution. The cases are ongoing.</w:t>
      </w:r>
    </w:p>
    <w:p w:rsidR="00BD33D6" w:rsidRPr="00E74C85" w:rsidRDefault="008B094E" w:rsidP="00C210CA">
      <w:pPr>
        <w:pStyle w:val="Heading2"/>
        <w:spacing w:after="200"/>
        <w:ind w:left="0"/>
        <w:jc w:val="both"/>
        <w:rPr>
          <w:rFonts w:asciiTheme="minorHAnsi" w:hAnsiTheme="minorHAnsi" w:cstheme="minorHAnsi"/>
          <w:b w:val="0"/>
          <w:bCs w:val="0"/>
          <w:i w:val="0"/>
        </w:rPr>
      </w:pPr>
      <w:r>
        <w:rPr>
          <w:rFonts w:asciiTheme="minorHAnsi" w:hAnsiTheme="minorHAnsi" w:cstheme="minorHAnsi"/>
          <w:i w:val="0"/>
        </w:rPr>
        <w:lastRenderedPageBreak/>
        <w:t>Goal 3</w:t>
      </w:r>
      <w:r w:rsidR="00BD33D6" w:rsidRPr="00E74C85">
        <w:rPr>
          <w:rFonts w:asciiTheme="minorHAnsi" w:hAnsiTheme="minorHAnsi" w:cstheme="minorHAnsi"/>
          <w:i w:val="0"/>
        </w:rPr>
        <w:t>: Health advocacy organizations monitor and advocate for better health budget financing; essential medicines and commodities; decentralization of health service</w:t>
      </w:r>
      <w:r w:rsidR="003B2AA2">
        <w:rPr>
          <w:rFonts w:asciiTheme="minorHAnsi" w:hAnsiTheme="minorHAnsi" w:cstheme="minorHAnsi"/>
          <w:i w:val="0"/>
        </w:rPr>
        <w:t>s</w:t>
      </w:r>
      <w:r w:rsidR="00BD33D6" w:rsidRPr="00E74C85">
        <w:rPr>
          <w:rFonts w:asciiTheme="minorHAnsi" w:hAnsiTheme="minorHAnsi" w:cstheme="minorHAnsi"/>
          <w:i w:val="0"/>
        </w:rPr>
        <w:t>; and reduction in corruption in medicine procurement and supply service delivery.</w:t>
      </w:r>
    </w:p>
    <w:p w:rsidR="00BD33D6" w:rsidRPr="00C210CA" w:rsidRDefault="00BD33D6" w:rsidP="00C210CA">
      <w:pPr>
        <w:pStyle w:val="BodyText"/>
        <w:spacing w:after="200"/>
        <w:ind w:left="0"/>
        <w:jc w:val="both"/>
        <w:rPr>
          <w:rFonts w:asciiTheme="minorHAnsi" w:hAnsiTheme="minorHAnsi" w:cstheme="minorHAnsi"/>
        </w:rPr>
      </w:pPr>
      <w:r w:rsidRPr="00C210CA">
        <w:rPr>
          <w:rFonts w:asciiTheme="minorHAnsi" w:hAnsiTheme="minorHAnsi" w:cstheme="minorHAnsi"/>
        </w:rPr>
        <w:t xml:space="preserve">In October 2015, the status of the health care system in Kenya was brought to the fore when an accident victim spent </w:t>
      </w:r>
      <w:r w:rsidR="00481F7D">
        <w:rPr>
          <w:rFonts w:asciiTheme="minorHAnsi" w:hAnsiTheme="minorHAnsi" w:cstheme="minorHAnsi"/>
        </w:rPr>
        <w:t>eighteen</w:t>
      </w:r>
      <w:r w:rsidRPr="00C210CA">
        <w:rPr>
          <w:rFonts w:asciiTheme="minorHAnsi" w:hAnsiTheme="minorHAnsi" w:cstheme="minorHAnsi"/>
        </w:rPr>
        <w:t xml:space="preserve"> hours in an ambulance due to lack of </w:t>
      </w:r>
      <w:r w:rsidR="00481F7D">
        <w:rPr>
          <w:rFonts w:asciiTheme="minorHAnsi" w:hAnsiTheme="minorHAnsi" w:cstheme="minorHAnsi"/>
        </w:rPr>
        <w:t>intensive care unit (</w:t>
      </w:r>
      <w:r w:rsidRPr="00C210CA">
        <w:rPr>
          <w:rFonts w:asciiTheme="minorHAnsi" w:hAnsiTheme="minorHAnsi" w:cstheme="minorHAnsi"/>
        </w:rPr>
        <w:t>ICU</w:t>
      </w:r>
      <w:r w:rsidR="00481F7D">
        <w:rPr>
          <w:rFonts w:asciiTheme="minorHAnsi" w:hAnsiTheme="minorHAnsi" w:cstheme="minorHAnsi"/>
        </w:rPr>
        <w:t>)</w:t>
      </w:r>
      <w:r w:rsidRPr="00C210CA">
        <w:rPr>
          <w:rFonts w:asciiTheme="minorHAnsi" w:hAnsiTheme="minorHAnsi" w:cstheme="minorHAnsi"/>
        </w:rPr>
        <w:t xml:space="preserve"> facilities at the country’s largest referral hospital and </w:t>
      </w:r>
      <w:r w:rsidR="00C61961" w:rsidRPr="00C210CA">
        <w:rPr>
          <w:rFonts w:asciiTheme="minorHAnsi" w:hAnsiTheme="minorHAnsi" w:cstheme="minorHAnsi"/>
        </w:rPr>
        <w:t xml:space="preserve">the </w:t>
      </w:r>
      <w:r w:rsidRPr="00C210CA">
        <w:rPr>
          <w:rFonts w:asciiTheme="minorHAnsi" w:hAnsiTheme="minorHAnsi" w:cstheme="minorHAnsi"/>
        </w:rPr>
        <w:t xml:space="preserve">subsequent rejection of the patient in fee-paying private facilities for lack of </w:t>
      </w:r>
      <w:r w:rsidR="00C61961" w:rsidRPr="00C210CA">
        <w:rPr>
          <w:rFonts w:asciiTheme="minorHAnsi" w:hAnsiTheme="minorHAnsi" w:cstheme="minorHAnsi"/>
        </w:rPr>
        <w:t xml:space="preserve">an </w:t>
      </w:r>
      <w:r w:rsidRPr="00C210CA">
        <w:rPr>
          <w:rFonts w:asciiTheme="minorHAnsi" w:hAnsiTheme="minorHAnsi" w:cstheme="minorHAnsi"/>
        </w:rPr>
        <w:t xml:space="preserve">initial </w:t>
      </w:r>
      <w:r w:rsidR="00C61961" w:rsidRPr="00C210CA">
        <w:rPr>
          <w:rFonts w:asciiTheme="minorHAnsi" w:hAnsiTheme="minorHAnsi" w:cstheme="minorHAnsi"/>
        </w:rPr>
        <w:t xml:space="preserve">fee </w:t>
      </w:r>
      <w:r w:rsidRPr="00C210CA">
        <w:rPr>
          <w:rFonts w:asciiTheme="minorHAnsi" w:hAnsiTheme="minorHAnsi" w:cstheme="minorHAnsi"/>
        </w:rPr>
        <w:t xml:space="preserve">deposit. Mr. Alex </w:t>
      </w:r>
      <w:proofErr w:type="spellStart"/>
      <w:r w:rsidRPr="00C210CA">
        <w:rPr>
          <w:rFonts w:asciiTheme="minorHAnsi" w:hAnsiTheme="minorHAnsi" w:cstheme="minorHAnsi"/>
        </w:rPr>
        <w:t>Madaga</w:t>
      </w:r>
      <w:proofErr w:type="spellEnd"/>
      <w:r w:rsidRPr="00C210CA">
        <w:rPr>
          <w:rFonts w:asciiTheme="minorHAnsi" w:hAnsiTheme="minorHAnsi" w:cstheme="minorHAnsi"/>
        </w:rPr>
        <w:t xml:space="preserve">, </w:t>
      </w:r>
      <w:r w:rsidR="00481F7D">
        <w:rPr>
          <w:rFonts w:asciiTheme="minorHAnsi" w:hAnsiTheme="minorHAnsi" w:cstheme="minorHAnsi"/>
        </w:rPr>
        <w:t>thirty seven</w:t>
      </w:r>
      <w:r w:rsidR="008B094E">
        <w:rPr>
          <w:rFonts w:asciiTheme="minorHAnsi" w:hAnsiTheme="minorHAnsi" w:cstheme="minorHAnsi"/>
        </w:rPr>
        <w:t>, had</w:t>
      </w:r>
      <w:r w:rsidRPr="00C210CA">
        <w:rPr>
          <w:rFonts w:asciiTheme="minorHAnsi" w:hAnsiTheme="minorHAnsi" w:cstheme="minorHAnsi"/>
        </w:rPr>
        <w:t xml:space="preserve"> sustained brain injuries </w:t>
      </w:r>
      <w:r w:rsidR="008B094E">
        <w:rPr>
          <w:rFonts w:asciiTheme="minorHAnsi" w:hAnsiTheme="minorHAnsi" w:cstheme="minorHAnsi"/>
        </w:rPr>
        <w:t xml:space="preserve">that </w:t>
      </w:r>
      <w:r w:rsidRPr="00C210CA">
        <w:rPr>
          <w:rFonts w:asciiTheme="minorHAnsi" w:hAnsiTheme="minorHAnsi" w:cstheme="minorHAnsi"/>
        </w:rPr>
        <w:t>required lifesaving facilities but succumbed</w:t>
      </w:r>
      <w:r w:rsidR="00481F7D">
        <w:rPr>
          <w:rFonts w:asciiTheme="minorHAnsi" w:hAnsiTheme="minorHAnsi" w:cstheme="minorHAnsi"/>
        </w:rPr>
        <w:t xml:space="preserve"> to his injuries</w:t>
      </w:r>
      <w:r w:rsidRPr="00C210CA">
        <w:rPr>
          <w:rFonts w:asciiTheme="minorHAnsi" w:hAnsiTheme="minorHAnsi" w:cstheme="minorHAnsi"/>
        </w:rPr>
        <w:t xml:space="preserve"> </w:t>
      </w:r>
      <w:r w:rsidR="00C61961" w:rsidRPr="00C210CA">
        <w:rPr>
          <w:rFonts w:asciiTheme="minorHAnsi" w:hAnsiTheme="minorHAnsi" w:cstheme="minorHAnsi"/>
        </w:rPr>
        <w:t xml:space="preserve">due to delays related to </w:t>
      </w:r>
      <w:r w:rsidR="00925385" w:rsidRPr="00C210CA">
        <w:rPr>
          <w:rFonts w:asciiTheme="minorHAnsi" w:hAnsiTheme="minorHAnsi" w:cstheme="minorHAnsi"/>
        </w:rPr>
        <w:t>inability</w:t>
      </w:r>
      <w:r w:rsidR="00C61961" w:rsidRPr="00C210CA">
        <w:rPr>
          <w:rFonts w:asciiTheme="minorHAnsi" w:hAnsiTheme="minorHAnsi" w:cstheme="minorHAnsi"/>
        </w:rPr>
        <w:t xml:space="preserve"> to pay requisite fees. This raise</w:t>
      </w:r>
      <w:r w:rsidR="00925385" w:rsidRPr="00C210CA">
        <w:rPr>
          <w:rFonts w:asciiTheme="minorHAnsi" w:hAnsiTheme="minorHAnsi" w:cstheme="minorHAnsi"/>
        </w:rPr>
        <w:t xml:space="preserve">d </w:t>
      </w:r>
      <w:r w:rsidR="00C61961" w:rsidRPr="00C210CA">
        <w:rPr>
          <w:rFonts w:asciiTheme="minorHAnsi" w:hAnsiTheme="minorHAnsi" w:cstheme="minorHAnsi"/>
        </w:rPr>
        <w:t xml:space="preserve">both ethical questions </w:t>
      </w:r>
      <w:r w:rsidRPr="00C210CA">
        <w:rPr>
          <w:rFonts w:asciiTheme="minorHAnsi" w:hAnsiTheme="minorHAnsi" w:cstheme="minorHAnsi"/>
        </w:rPr>
        <w:t>but</w:t>
      </w:r>
      <w:r w:rsidR="00C61961" w:rsidRPr="00C210CA">
        <w:rPr>
          <w:rFonts w:asciiTheme="minorHAnsi" w:hAnsiTheme="minorHAnsi" w:cstheme="minorHAnsi"/>
        </w:rPr>
        <w:t xml:space="preserve"> a </w:t>
      </w:r>
      <w:r w:rsidRPr="00C210CA">
        <w:rPr>
          <w:rFonts w:asciiTheme="minorHAnsi" w:hAnsiTheme="minorHAnsi" w:cstheme="minorHAnsi"/>
        </w:rPr>
        <w:t>clear need for advocacy on health budgets in the region where no</w:t>
      </w:r>
      <w:r w:rsidR="00C61961" w:rsidRPr="00C210CA">
        <w:rPr>
          <w:rFonts w:asciiTheme="minorHAnsi" w:hAnsiTheme="minorHAnsi" w:cstheme="minorHAnsi"/>
        </w:rPr>
        <w:t>ne</w:t>
      </w:r>
      <w:r w:rsidRPr="00C210CA">
        <w:rPr>
          <w:rFonts w:asciiTheme="minorHAnsi" w:hAnsiTheme="minorHAnsi" w:cstheme="minorHAnsi"/>
        </w:rPr>
        <w:t xml:space="preserve"> currently is yet to attain the Abuja declaration target of 15% budgetary provision for health care. </w:t>
      </w:r>
      <w:r w:rsidR="00C61961" w:rsidRPr="00C210CA">
        <w:rPr>
          <w:rFonts w:asciiTheme="minorHAnsi" w:hAnsiTheme="minorHAnsi" w:cstheme="minorHAnsi"/>
        </w:rPr>
        <w:t xml:space="preserve">OSIEA </w:t>
      </w:r>
      <w:r w:rsidRPr="00C210CA">
        <w:rPr>
          <w:rFonts w:asciiTheme="minorHAnsi" w:hAnsiTheme="minorHAnsi" w:cstheme="minorHAnsi"/>
        </w:rPr>
        <w:t>grantees have embarked on efforts to hold governments in the region accountable for not only the loss of life but the large wastage in the health sector.</w:t>
      </w:r>
    </w:p>
    <w:p w:rsidR="00AB5746" w:rsidRPr="008B094E" w:rsidRDefault="008B094E" w:rsidP="00C210CA">
      <w:pPr>
        <w:pStyle w:val="BodyText"/>
        <w:spacing w:after="200"/>
        <w:ind w:left="0"/>
        <w:jc w:val="both"/>
        <w:rPr>
          <w:rFonts w:asciiTheme="minorHAnsi" w:hAnsiTheme="minorHAnsi" w:cstheme="minorHAnsi"/>
          <w:b/>
        </w:rPr>
      </w:pPr>
      <w:r w:rsidRPr="008B094E">
        <w:rPr>
          <w:rFonts w:asciiTheme="minorHAnsi" w:hAnsiTheme="minorHAnsi" w:cstheme="minorHAnsi"/>
          <w:b/>
        </w:rPr>
        <w:t>Overall assessment</w:t>
      </w:r>
    </w:p>
    <w:p w:rsidR="00BD33D6" w:rsidRPr="00C210CA" w:rsidRDefault="00BD33D6" w:rsidP="00C210CA">
      <w:pPr>
        <w:pStyle w:val="BodyText"/>
        <w:spacing w:after="200"/>
        <w:ind w:left="0"/>
        <w:jc w:val="both"/>
        <w:rPr>
          <w:rFonts w:asciiTheme="minorHAnsi" w:hAnsiTheme="minorHAnsi" w:cstheme="minorHAnsi"/>
        </w:rPr>
      </w:pPr>
      <w:r w:rsidRPr="00C210CA">
        <w:rPr>
          <w:rFonts w:asciiTheme="minorHAnsi" w:hAnsiTheme="minorHAnsi" w:cstheme="minorHAnsi"/>
        </w:rPr>
        <w:t xml:space="preserve">In Uganda, </w:t>
      </w:r>
      <w:r w:rsidR="005F7E15" w:rsidRPr="00C210CA">
        <w:rPr>
          <w:rFonts w:asciiTheme="minorHAnsi" w:hAnsiTheme="minorHAnsi" w:cstheme="minorHAnsi"/>
        </w:rPr>
        <w:t>OSIEA</w:t>
      </w:r>
      <w:r w:rsidRPr="00C210CA">
        <w:rPr>
          <w:rFonts w:asciiTheme="minorHAnsi" w:hAnsiTheme="minorHAnsi" w:cstheme="minorHAnsi"/>
        </w:rPr>
        <w:t xml:space="preserve"> grantee </w:t>
      </w:r>
      <w:r w:rsidR="00481F7D" w:rsidRPr="00481F7D">
        <w:rPr>
          <w:rFonts w:asciiTheme="minorHAnsi" w:hAnsiTheme="minorHAnsi" w:cstheme="minorHAnsi"/>
        </w:rPr>
        <w:t>Uganda Na</w:t>
      </w:r>
      <w:r w:rsidR="00481F7D">
        <w:rPr>
          <w:rFonts w:asciiTheme="minorHAnsi" w:hAnsiTheme="minorHAnsi" w:cstheme="minorHAnsi"/>
        </w:rPr>
        <w:t>tional Health Consumers' Organiz</w:t>
      </w:r>
      <w:r w:rsidR="00481F7D" w:rsidRPr="00481F7D">
        <w:rPr>
          <w:rFonts w:asciiTheme="minorHAnsi" w:hAnsiTheme="minorHAnsi" w:cstheme="minorHAnsi"/>
        </w:rPr>
        <w:t xml:space="preserve">ation </w:t>
      </w:r>
      <w:r w:rsidR="00481F7D">
        <w:rPr>
          <w:rFonts w:asciiTheme="minorHAnsi" w:hAnsiTheme="minorHAnsi" w:cstheme="minorHAnsi"/>
        </w:rPr>
        <w:t>(</w:t>
      </w:r>
      <w:r w:rsidRPr="00C210CA">
        <w:rPr>
          <w:rFonts w:asciiTheme="minorHAnsi" w:hAnsiTheme="minorHAnsi" w:cstheme="minorHAnsi"/>
        </w:rPr>
        <w:t>UNHCO</w:t>
      </w:r>
      <w:r w:rsidR="00481F7D">
        <w:rPr>
          <w:rFonts w:asciiTheme="minorHAnsi" w:hAnsiTheme="minorHAnsi" w:cstheme="minorHAnsi"/>
        </w:rPr>
        <w:t>)</w:t>
      </w:r>
      <w:r w:rsidRPr="00C210CA">
        <w:rPr>
          <w:rFonts w:asciiTheme="minorHAnsi" w:hAnsiTheme="minorHAnsi" w:cstheme="minorHAnsi"/>
        </w:rPr>
        <w:t xml:space="preserve"> constructively engaged with stak</w:t>
      </w:r>
      <w:r w:rsidR="00481F7D">
        <w:rPr>
          <w:rFonts w:asciiTheme="minorHAnsi" w:hAnsiTheme="minorHAnsi" w:cstheme="minorHAnsi"/>
        </w:rPr>
        <w:t>e</w:t>
      </w:r>
      <w:r w:rsidRPr="00C210CA">
        <w:rPr>
          <w:rFonts w:asciiTheme="minorHAnsi" w:hAnsiTheme="minorHAnsi" w:cstheme="minorHAnsi"/>
        </w:rPr>
        <w:t xml:space="preserve">holders, </w:t>
      </w:r>
      <w:r w:rsidR="00481F7D">
        <w:rPr>
          <w:rFonts w:asciiTheme="minorHAnsi" w:hAnsiTheme="minorHAnsi" w:cstheme="minorHAnsi"/>
        </w:rPr>
        <w:t xml:space="preserve">the </w:t>
      </w:r>
      <w:r w:rsidR="00481F7D" w:rsidRPr="00481F7D">
        <w:rPr>
          <w:rFonts w:asciiTheme="minorHAnsi" w:hAnsiTheme="minorHAnsi" w:cstheme="minorHAnsi"/>
        </w:rPr>
        <w:t xml:space="preserve">Action Group for Health, Human Rights and HIV/AIDS </w:t>
      </w:r>
      <w:r w:rsidR="00481F7D">
        <w:rPr>
          <w:rFonts w:asciiTheme="minorHAnsi" w:hAnsiTheme="minorHAnsi" w:cstheme="minorHAnsi"/>
        </w:rPr>
        <w:t>(</w:t>
      </w:r>
      <w:r w:rsidRPr="00C210CA">
        <w:rPr>
          <w:rFonts w:asciiTheme="minorHAnsi" w:hAnsiTheme="minorHAnsi" w:cstheme="minorHAnsi"/>
        </w:rPr>
        <w:t>AGHA</w:t>
      </w:r>
      <w:r w:rsidR="00481F7D">
        <w:rPr>
          <w:rFonts w:asciiTheme="minorHAnsi" w:hAnsiTheme="minorHAnsi" w:cstheme="minorHAnsi"/>
        </w:rPr>
        <w:t>)</w:t>
      </w:r>
      <w:r w:rsidRPr="00C210CA">
        <w:rPr>
          <w:rFonts w:asciiTheme="minorHAnsi" w:hAnsiTheme="minorHAnsi" w:cstheme="minorHAnsi"/>
        </w:rPr>
        <w:t xml:space="preserve">, CEHURD, and </w:t>
      </w:r>
      <w:r w:rsidR="00481F7D">
        <w:rPr>
          <w:rFonts w:asciiTheme="minorHAnsi" w:hAnsiTheme="minorHAnsi" w:cstheme="minorHAnsi"/>
        </w:rPr>
        <w:t xml:space="preserve">the </w:t>
      </w:r>
      <w:r w:rsidR="00481F7D" w:rsidRPr="00481F7D">
        <w:rPr>
          <w:rFonts w:asciiTheme="minorHAnsi" w:hAnsiTheme="minorHAnsi" w:cstheme="minorHAnsi"/>
        </w:rPr>
        <w:t>Initiative for Social and Economic Rights</w:t>
      </w:r>
      <w:r w:rsidR="00481F7D">
        <w:rPr>
          <w:rFonts w:asciiTheme="minorHAnsi" w:hAnsiTheme="minorHAnsi" w:cstheme="minorHAnsi"/>
        </w:rPr>
        <w:t xml:space="preserve"> (</w:t>
      </w:r>
      <w:r w:rsidRPr="00C210CA">
        <w:rPr>
          <w:rFonts w:asciiTheme="minorHAnsi" w:hAnsiTheme="minorHAnsi" w:cstheme="minorHAnsi"/>
        </w:rPr>
        <w:t>ISER</w:t>
      </w:r>
      <w:r w:rsidR="00481F7D">
        <w:rPr>
          <w:rFonts w:asciiTheme="minorHAnsi" w:hAnsiTheme="minorHAnsi" w:cstheme="minorHAnsi"/>
        </w:rPr>
        <w:t>)</w:t>
      </w:r>
      <w:r w:rsidRPr="00C210CA">
        <w:rPr>
          <w:rFonts w:asciiTheme="minorHAnsi" w:hAnsiTheme="minorHAnsi" w:cstheme="minorHAnsi"/>
        </w:rPr>
        <w:t xml:space="preserve"> to advocate to make the right to health claimable/justiciable and to legitimize patient’s rights and responsibilities under Ugandan law. Further a </w:t>
      </w:r>
      <w:r w:rsidR="005F7E15" w:rsidRPr="00C210CA">
        <w:rPr>
          <w:rFonts w:asciiTheme="minorHAnsi" w:hAnsiTheme="minorHAnsi" w:cstheme="minorHAnsi"/>
        </w:rPr>
        <w:t>c</w:t>
      </w:r>
      <w:r w:rsidRPr="00C210CA">
        <w:rPr>
          <w:rFonts w:asciiTheme="minorHAnsi" w:hAnsiTheme="minorHAnsi" w:cstheme="minorHAnsi"/>
        </w:rPr>
        <w:t>ivil society coalition built a strong partnership with institutions including the Uganda Human Rights Commission</w:t>
      </w:r>
      <w:r w:rsidR="00450553">
        <w:rPr>
          <w:rFonts w:asciiTheme="minorHAnsi" w:hAnsiTheme="minorHAnsi" w:cstheme="minorHAnsi"/>
        </w:rPr>
        <w:t xml:space="preserve"> (UHRC)</w:t>
      </w:r>
      <w:r w:rsidRPr="00C210CA">
        <w:rPr>
          <w:rFonts w:asciiTheme="minorHAnsi" w:hAnsiTheme="minorHAnsi" w:cstheme="minorHAnsi"/>
        </w:rPr>
        <w:t>, Uganda Law Reform Commission</w:t>
      </w:r>
      <w:r w:rsidR="00450553">
        <w:rPr>
          <w:rFonts w:asciiTheme="minorHAnsi" w:hAnsiTheme="minorHAnsi" w:cstheme="minorHAnsi"/>
        </w:rPr>
        <w:t xml:space="preserve"> (ULRC)</w:t>
      </w:r>
      <w:r w:rsidRPr="00C210CA">
        <w:rPr>
          <w:rFonts w:asciiTheme="minorHAnsi" w:hAnsiTheme="minorHAnsi" w:cstheme="minorHAnsi"/>
        </w:rPr>
        <w:t xml:space="preserve">, </w:t>
      </w:r>
      <w:r w:rsidR="005F7E15" w:rsidRPr="00C210CA">
        <w:rPr>
          <w:rFonts w:asciiTheme="minorHAnsi" w:hAnsiTheme="minorHAnsi" w:cstheme="minorHAnsi"/>
        </w:rPr>
        <w:t xml:space="preserve">and </w:t>
      </w:r>
      <w:r w:rsidRPr="00C210CA">
        <w:rPr>
          <w:rFonts w:asciiTheme="minorHAnsi" w:hAnsiTheme="minorHAnsi" w:cstheme="minorHAnsi"/>
        </w:rPr>
        <w:t>parliament among others</w:t>
      </w:r>
      <w:r w:rsidR="00450553">
        <w:rPr>
          <w:rFonts w:asciiTheme="minorHAnsi" w:hAnsiTheme="minorHAnsi" w:cstheme="minorHAnsi"/>
        </w:rPr>
        <w:t>,</w:t>
      </w:r>
      <w:r w:rsidR="000870F2" w:rsidRPr="00C210CA">
        <w:rPr>
          <w:rFonts w:asciiTheme="minorHAnsi" w:hAnsiTheme="minorHAnsi" w:cstheme="minorHAnsi"/>
        </w:rPr>
        <w:t xml:space="preserve"> </w:t>
      </w:r>
      <w:r w:rsidRPr="00C210CA">
        <w:rPr>
          <w:rFonts w:asciiTheme="minorHAnsi" w:hAnsiTheme="minorHAnsi" w:cstheme="minorHAnsi"/>
        </w:rPr>
        <w:t xml:space="preserve">and formed a Patients’ Rights Bill Working Group (Task Force) which has greatly influenced debate on </w:t>
      </w:r>
      <w:r w:rsidR="005F7E15" w:rsidRPr="00C210CA">
        <w:rPr>
          <w:rFonts w:asciiTheme="minorHAnsi" w:hAnsiTheme="minorHAnsi" w:cstheme="minorHAnsi"/>
        </w:rPr>
        <w:t xml:space="preserve">the </w:t>
      </w:r>
      <w:r w:rsidRPr="00C210CA">
        <w:rPr>
          <w:rFonts w:asciiTheme="minorHAnsi" w:hAnsiTheme="minorHAnsi" w:cstheme="minorHAnsi"/>
        </w:rPr>
        <w:t>right to health in Uganda.</w:t>
      </w:r>
    </w:p>
    <w:p w:rsidR="00BD33D6" w:rsidRPr="00C76EA9" w:rsidRDefault="00BD33D6" w:rsidP="00450553">
      <w:pPr>
        <w:pStyle w:val="BodyText"/>
        <w:spacing w:after="200"/>
        <w:ind w:left="0"/>
        <w:jc w:val="both"/>
        <w:rPr>
          <w:rFonts w:cstheme="minorHAnsi"/>
        </w:rPr>
      </w:pPr>
      <w:r w:rsidRPr="00C210CA">
        <w:rPr>
          <w:rFonts w:asciiTheme="minorHAnsi" w:hAnsiTheme="minorHAnsi" w:cstheme="minorHAnsi"/>
        </w:rPr>
        <w:t xml:space="preserve">In 2011, CEHURD instituted a public interest case on maternal health in Uganda. The case challenged the failure of the government to provide basic maternal health services and commodities which was leading to unacceptably high yet preventable deaths of mothers while giving birth. The case was erroneously dismissed by the Constitutional Court which ruled that the case raised issues of a political nature which were under the exclusive prerogative of the state and which the </w:t>
      </w:r>
      <w:r w:rsidR="00450553">
        <w:rPr>
          <w:rFonts w:asciiTheme="minorHAnsi" w:hAnsiTheme="minorHAnsi" w:cstheme="minorHAnsi"/>
        </w:rPr>
        <w:t>c</w:t>
      </w:r>
      <w:r w:rsidRPr="00C210CA">
        <w:rPr>
          <w:rFonts w:asciiTheme="minorHAnsi" w:hAnsiTheme="minorHAnsi" w:cstheme="minorHAnsi"/>
        </w:rPr>
        <w:t>ourts could not intervene to determin</w:t>
      </w:r>
      <w:r w:rsidR="00450553">
        <w:rPr>
          <w:rFonts w:asciiTheme="minorHAnsi" w:hAnsiTheme="minorHAnsi" w:cstheme="minorHAnsi"/>
        </w:rPr>
        <w:t xml:space="preserve">e. </w:t>
      </w:r>
      <w:r w:rsidRPr="00C210CA">
        <w:rPr>
          <w:rFonts w:asciiTheme="minorHAnsi" w:hAnsiTheme="minorHAnsi" w:cstheme="minorHAnsi"/>
        </w:rPr>
        <w:t>On</w:t>
      </w:r>
      <w:r w:rsidR="00450553">
        <w:rPr>
          <w:rFonts w:asciiTheme="minorHAnsi" w:hAnsiTheme="minorHAnsi" w:cstheme="minorHAnsi"/>
        </w:rPr>
        <w:t xml:space="preserve"> </w:t>
      </w:r>
      <w:r w:rsidRPr="00C210CA">
        <w:rPr>
          <w:rFonts w:asciiTheme="minorHAnsi" w:hAnsiTheme="minorHAnsi" w:cstheme="minorHAnsi"/>
        </w:rPr>
        <w:t>appeal</w:t>
      </w:r>
      <w:r w:rsidR="00450553">
        <w:rPr>
          <w:rFonts w:asciiTheme="minorHAnsi" w:hAnsiTheme="minorHAnsi" w:cstheme="minorHAnsi"/>
        </w:rPr>
        <w:t xml:space="preserve"> </w:t>
      </w:r>
      <w:r w:rsidRPr="00C210CA">
        <w:rPr>
          <w:rFonts w:asciiTheme="minorHAnsi" w:hAnsiTheme="minorHAnsi" w:cstheme="minorHAnsi"/>
        </w:rPr>
        <w:t>in</w:t>
      </w:r>
      <w:r w:rsidR="00450553">
        <w:rPr>
          <w:rFonts w:asciiTheme="minorHAnsi" w:hAnsiTheme="minorHAnsi" w:cstheme="minorHAnsi"/>
        </w:rPr>
        <w:t xml:space="preserve"> </w:t>
      </w:r>
      <w:r w:rsidRPr="00C210CA">
        <w:rPr>
          <w:rFonts w:asciiTheme="minorHAnsi" w:hAnsiTheme="minorHAnsi" w:cstheme="minorHAnsi"/>
        </w:rPr>
        <w:t>Octob</w:t>
      </w:r>
      <w:r w:rsidR="00450553">
        <w:rPr>
          <w:rFonts w:asciiTheme="minorHAnsi" w:hAnsiTheme="minorHAnsi" w:cstheme="minorHAnsi"/>
        </w:rPr>
        <w:t xml:space="preserve">er </w:t>
      </w:r>
      <w:r w:rsidRPr="00C210CA">
        <w:rPr>
          <w:rFonts w:asciiTheme="minorHAnsi" w:hAnsiTheme="minorHAnsi" w:cstheme="minorHAnsi"/>
        </w:rPr>
        <w:t>2015, the Supreme Court overturned this decision and directed the Constitutional Court to hear the case on its merits. The court and particularly Chief Justice Bart Katureebe observed that:</w:t>
      </w:r>
      <w:r w:rsidR="00450553">
        <w:rPr>
          <w:rFonts w:asciiTheme="minorHAnsi" w:hAnsiTheme="minorHAnsi" w:cstheme="minorHAnsi"/>
        </w:rPr>
        <w:t xml:space="preserve"> </w:t>
      </w:r>
      <w:r w:rsidR="00450553" w:rsidRPr="00C76EA9">
        <w:rPr>
          <w:rFonts w:asciiTheme="minorHAnsi" w:hAnsiTheme="minorHAnsi" w:cstheme="minorHAnsi"/>
        </w:rPr>
        <w:t>“…To my understanding, the petition raises issues pertaining to what are called social rights. It calls upon the Constitutional Court to give the right to health a place in the Constitution. This cannot be done without interpreting the Constitution. What does it mean when the Constitution states that fundamental human rights are inherent and not granted by the state, and yet the petition is about the state failing to provide certain health services?</w:t>
      </w:r>
      <w:r w:rsidR="00B07FAF" w:rsidRPr="00C76EA9">
        <w:rPr>
          <w:rFonts w:asciiTheme="minorHAnsi" w:hAnsiTheme="minorHAnsi" w:cstheme="minorHAnsi"/>
        </w:rPr>
        <w:t>...</w:t>
      </w:r>
      <w:r w:rsidR="00450553" w:rsidRPr="00C76EA9">
        <w:rPr>
          <w:rFonts w:asciiTheme="minorHAnsi" w:hAnsiTheme="minorHAnsi" w:cstheme="minorHAnsi"/>
        </w:rPr>
        <w:t>”</w:t>
      </w:r>
    </w:p>
    <w:p w:rsidR="00BD33D6" w:rsidRPr="00C210CA" w:rsidRDefault="00B07FAF" w:rsidP="00C210CA">
      <w:pPr>
        <w:pStyle w:val="BodyText"/>
        <w:spacing w:after="200"/>
        <w:ind w:left="0"/>
        <w:jc w:val="both"/>
        <w:rPr>
          <w:rFonts w:asciiTheme="minorHAnsi" w:hAnsiTheme="minorHAnsi" w:cstheme="minorHAnsi"/>
        </w:rPr>
      </w:pPr>
      <w:r>
        <w:rPr>
          <w:rFonts w:asciiTheme="minorHAnsi" w:hAnsiTheme="minorHAnsi" w:cstheme="minorHAnsi"/>
        </w:rPr>
        <w:t>As mentioned above, i</w:t>
      </w:r>
      <w:r w:rsidR="000870F2" w:rsidRPr="00C210CA">
        <w:rPr>
          <w:rFonts w:asciiTheme="minorHAnsi" w:hAnsiTheme="minorHAnsi" w:cstheme="minorHAnsi"/>
        </w:rPr>
        <w:t xml:space="preserve">n Kenya the LGBTI movement and </w:t>
      </w:r>
      <w:r w:rsidR="00BD33D6" w:rsidRPr="00C210CA">
        <w:rPr>
          <w:rFonts w:asciiTheme="minorHAnsi" w:hAnsiTheme="minorHAnsi" w:cstheme="minorHAnsi"/>
        </w:rPr>
        <w:t xml:space="preserve">grantees </w:t>
      </w:r>
      <w:r w:rsidR="005F7E15" w:rsidRPr="00C210CA">
        <w:rPr>
          <w:rFonts w:asciiTheme="minorHAnsi" w:hAnsiTheme="minorHAnsi" w:cstheme="minorHAnsi"/>
        </w:rPr>
        <w:t xml:space="preserve">grew </w:t>
      </w:r>
      <w:r w:rsidR="00BD33D6" w:rsidRPr="00C210CA">
        <w:rPr>
          <w:rFonts w:asciiTheme="minorHAnsi" w:hAnsiTheme="minorHAnsi" w:cstheme="minorHAnsi"/>
        </w:rPr>
        <w:t xml:space="preserve">stronger and won the right to be registered by the NGO </w:t>
      </w:r>
      <w:r>
        <w:rPr>
          <w:rFonts w:asciiTheme="minorHAnsi" w:hAnsiTheme="minorHAnsi" w:cstheme="minorHAnsi"/>
        </w:rPr>
        <w:t>C</w:t>
      </w:r>
      <w:r w:rsidR="00BD33D6" w:rsidRPr="00C210CA">
        <w:rPr>
          <w:rFonts w:asciiTheme="minorHAnsi" w:hAnsiTheme="minorHAnsi" w:cstheme="minorHAnsi"/>
        </w:rPr>
        <w:t xml:space="preserve">oordination </w:t>
      </w:r>
      <w:r>
        <w:rPr>
          <w:rFonts w:asciiTheme="minorHAnsi" w:hAnsiTheme="minorHAnsi" w:cstheme="minorHAnsi"/>
        </w:rPr>
        <w:t>B</w:t>
      </w:r>
      <w:r w:rsidR="00BD33D6" w:rsidRPr="00C210CA">
        <w:rPr>
          <w:rFonts w:asciiTheme="minorHAnsi" w:hAnsiTheme="minorHAnsi" w:cstheme="minorHAnsi"/>
        </w:rPr>
        <w:t xml:space="preserve">oard </w:t>
      </w:r>
      <w:r w:rsidR="000870F2" w:rsidRPr="00C210CA">
        <w:rPr>
          <w:rFonts w:asciiTheme="minorHAnsi" w:hAnsiTheme="minorHAnsi" w:cstheme="minorHAnsi"/>
        </w:rPr>
        <w:t xml:space="preserve">in </w:t>
      </w:r>
      <w:r w:rsidR="00BD33D6" w:rsidRPr="00C210CA">
        <w:rPr>
          <w:rFonts w:asciiTheme="minorHAnsi" w:hAnsiTheme="minorHAnsi" w:cstheme="minorHAnsi"/>
        </w:rPr>
        <w:t>April 2015</w:t>
      </w:r>
      <w:r w:rsidR="005F7E15" w:rsidRPr="00C210CA">
        <w:rPr>
          <w:rFonts w:asciiTheme="minorHAnsi" w:hAnsiTheme="minorHAnsi" w:cstheme="minorHAnsi"/>
        </w:rPr>
        <w:t xml:space="preserve"> via a court ruling</w:t>
      </w:r>
      <w:r w:rsidR="00BD33D6" w:rsidRPr="00C210CA">
        <w:rPr>
          <w:rFonts w:asciiTheme="minorHAnsi" w:hAnsiTheme="minorHAnsi" w:cstheme="minorHAnsi"/>
        </w:rPr>
        <w:t>. The court stated</w:t>
      </w:r>
      <w:r w:rsidR="00BD33D6" w:rsidRPr="00C76EA9">
        <w:rPr>
          <w:rFonts w:asciiTheme="minorHAnsi" w:hAnsiTheme="minorHAnsi" w:cstheme="minorHAnsi"/>
        </w:rPr>
        <w:t xml:space="preserve">: </w:t>
      </w:r>
      <w:r w:rsidR="00BD33D6" w:rsidRPr="00C76EA9">
        <w:rPr>
          <w:rFonts w:asciiTheme="minorHAnsi" w:hAnsiTheme="minorHAnsi" w:cstheme="minorHAnsi"/>
          <w:bCs/>
        </w:rPr>
        <w:t>“We hereby declare that the words “</w:t>
      </w:r>
      <w:r w:rsidRPr="00C76EA9">
        <w:rPr>
          <w:rFonts w:asciiTheme="minorHAnsi" w:hAnsiTheme="minorHAnsi" w:cstheme="minorHAnsi"/>
          <w:bCs/>
        </w:rPr>
        <w:t>e</w:t>
      </w:r>
      <w:r w:rsidR="00BD33D6" w:rsidRPr="00C76EA9">
        <w:rPr>
          <w:rFonts w:asciiTheme="minorHAnsi" w:hAnsiTheme="minorHAnsi" w:cstheme="minorHAnsi"/>
          <w:bCs/>
        </w:rPr>
        <w:t xml:space="preserve">very person” in Article 36 of the Constitution includes all persons living within the </w:t>
      </w:r>
      <w:r w:rsidRPr="00C76EA9">
        <w:rPr>
          <w:rFonts w:asciiTheme="minorHAnsi" w:hAnsiTheme="minorHAnsi" w:cstheme="minorHAnsi"/>
          <w:bCs/>
        </w:rPr>
        <w:t>R</w:t>
      </w:r>
      <w:r w:rsidR="00BD33D6" w:rsidRPr="00C76EA9">
        <w:rPr>
          <w:rFonts w:asciiTheme="minorHAnsi" w:hAnsiTheme="minorHAnsi" w:cstheme="minorHAnsi"/>
          <w:bCs/>
        </w:rPr>
        <w:t>epublic of Kenya despite their sexual orientation”</w:t>
      </w:r>
      <w:r w:rsidR="00BD33D6" w:rsidRPr="00C76EA9">
        <w:rPr>
          <w:rFonts w:asciiTheme="minorHAnsi" w:hAnsiTheme="minorHAnsi" w:cstheme="minorHAnsi"/>
        </w:rPr>
        <w:t>.</w:t>
      </w:r>
      <w:r w:rsidR="00BD33D6" w:rsidRPr="00C210CA">
        <w:rPr>
          <w:rFonts w:asciiTheme="minorHAnsi" w:hAnsiTheme="minorHAnsi" w:cstheme="minorHAnsi"/>
          <w:i/>
        </w:rPr>
        <w:t xml:space="preserve"> </w:t>
      </w:r>
      <w:r w:rsidR="00BD33D6" w:rsidRPr="00C210CA">
        <w:rPr>
          <w:rFonts w:asciiTheme="minorHAnsi" w:hAnsiTheme="minorHAnsi" w:cstheme="minorHAnsi"/>
        </w:rPr>
        <w:t xml:space="preserve">This </w:t>
      </w:r>
      <w:r w:rsidR="000870F2" w:rsidRPr="00C210CA">
        <w:rPr>
          <w:rFonts w:asciiTheme="minorHAnsi" w:hAnsiTheme="minorHAnsi" w:cstheme="minorHAnsi"/>
        </w:rPr>
        <w:t>was</w:t>
      </w:r>
      <w:r w:rsidR="00BD33D6" w:rsidRPr="00C210CA">
        <w:rPr>
          <w:rFonts w:asciiTheme="minorHAnsi" w:hAnsiTheme="minorHAnsi" w:cstheme="minorHAnsi"/>
        </w:rPr>
        <w:t xml:space="preserve"> historic and create</w:t>
      </w:r>
      <w:r w:rsidR="000870F2" w:rsidRPr="00C210CA">
        <w:rPr>
          <w:rFonts w:asciiTheme="minorHAnsi" w:hAnsiTheme="minorHAnsi" w:cstheme="minorHAnsi"/>
        </w:rPr>
        <w:t>d</w:t>
      </w:r>
      <w:r w:rsidR="00BD33D6" w:rsidRPr="00C210CA">
        <w:rPr>
          <w:rFonts w:asciiTheme="minorHAnsi" w:hAnsiTheme="minorHAnsi" w:cstheme="minorHAnsi"/>
        </w:rPr>
        <w:t xml:space="preserve"> jurisprudence for other countries in the region. Even though the Attorney General has appealed this judgment, it is a significant win for NGLHRC and the LGBTI community in Kenya.</w:t>
      </w:r>
      <w:r w:rsidR="000870F2" w:rsidRPr="00C210CA">
        <w:rPr>
          <w:rFonts w:asciiTheme="minorHAnsi" w:hAnsiTheme="minorHAnsi" w:cstheme="minorHAnsi"/>
        </w:rPr>
        <w:t xml:space="preserve"> They also received unprecedented backup from the Kenya National </w:t>
      </w:r>
      <w:r w:rsidRPr="00C210CA">
        <w:rPr>
          <w:rFonts w:asciiTheme="minorHAnsi" w:hAnsiTheme="minorHAnsi" w:cstheme="minorHAnsi"/>
        </w:rPr>
        <w:t xml:space="preserve">Commission </w:t>
      </w:r>
      <w:r>
        <w:rPr>
          <w:rFonts w:asciiTheme="minorHAnsi" w:hAnsiTheme="minorHAnsi" w:cstheme="minorHAnsi"/>
        </w:rPr>
        <w:t xml:space="preserve">on </w:t>
      </w:r>
      <w:r w:rsidR="000870F2" w:rsidRPr="00C210CA">
        <w:rPr>
          <w:rFonts w:asciiTheme="minorHAnsi" w:hAnsiTheme="minorHAnsi" w:cstheme="minorHAnsi"/>
        </w:rPr>
        <w:t>Human Rights.</w:t>
      </w:r>
    </w:p>
    <w:p w:rsidR="00BD33D6" w:rsidRPr="00C210CA" w:rsidRDefault="00BD33D6" w:rsidP="00C210CA">
      <w:pPr>
        <w:pStyle w:val="BodyText"/>
        <w:spacing w:after="200"/>
        <w:ind w:left="0"/>
        <w:jc w:val="both"/>
        <w:rPr>
          <w:rFonts w:asciiTheme="minorHAnsi" w:hAnsiTheme="minorHAnsi" w:cstheme="minorHAnsi"/>
        </w:rPr>
      </w:pPr>
      <w:r w:rsidRPr="00C210CA">
        <w:rPr>
          <w:rFonts w:asciiTheme="minorHAnsi" w:hAnsiTheme="minorHAnsi" w:cstheme="minorHAnsi"/>
        </w:rPr>
        <w:t>Similarly, the LGBTI movement</w:t>
      </w:r>
      <w:r w:rsidR="008B15C9">
        <w:rPr>
          <w:rFonts w:asciiTheme="minorHAnsi" w:hAnsiTheme="minorHAnsi" w:cstheme="minorHAnsi"/>
        </w:rPr>
        <w:t>,</w:t>
      </w:r>
      <w:r w:rsidRPr="00C210CA">
        <w:rPr>
          <w:rFonts w:asciiTheme="minorHAnsi" w:hAnsiTheme="minorHAnsi" w:cstheme="minorHAnsi"/>
        </w:rPr>
        <w:t xml:space="preserve"> using communication or print media</w:t>
      </w:r>
      <w:r w:rsidR="008B15C9">
        <w:rPr>
          <w:rFonts w:asciiTheme="minorHAnsi" w:hAnsiTheme="minorHAnsi" w:cstheme="minorHAnsi"/>
        </w:rPr>
        <w:t>,</w:t>
      </w:r>
      <w:r w:rsidRPr="00C210CA">
        <w:rPr>
          <w:rFonts w:asciiTheme="minorHAnsi" w:hAnsiTheme="minorHAnsi" w:cstheme="minorHAnsi"/>
        </w:rPr>
        <w:t xml:space="preserve"> has grown stronger even in the middle of a severe onslaught by governments. The brave move by groups in Uganda to print and circulate the </w:t>
      </w:r>
      <w:r w:rsidR="008B15C9">
        <w:rPr>
          <w:rFonts w:asciiTheme="minorHAnsi" w:hAnsiTheme="minorHAnsi" w:cstheme="minorHAnsi"/>
        </w:rPr>
        <w:t>R</w:t>
      </w:r>
      <w:r w:rsidRPr="00C210CA">
        <w:rPr>
          <w:rFonts w:asciiTheme="minorHAnsi" w:hAnsiTheme="minorHAnsi" w:cstheme="minorHAnsi"/>
        </w:rPr>
        <w:t xml:space="preserve">ainbow/Bombastic magazine to communities and </w:t>
      </w:r>
      <w:r w:rsidR="008B15C9">
        <w:rPr>
          <w:rFonts w:asciiTheme="minorHAnsi" w:hAnsiTheme="minorHAnsi" w:cstheme="minorHAnsi"/>
        </w:rPr>
        <w:t>MPs</w:t>
      </w:r>
      <w:r w:rsidRPr="00C210CA">
        <w:rPr>
          <w:rFonts w:asciiTheme="minorHAnsi" w:hAnsiTheme="minorHAnsi" w:cstheme="minorHAnsi"/>
        </w:rPr>
        <w:t xml:space="preserve"> within a hostile environment is a case in point. While the Kenyan movement is not monolithic, there are signs of effective coalition-building. The Nyanza, Rift Valley, Western Kenya Network (NYARWEK), for instance is a LGBTI network of twenty</w:t>
      </w:r>
      <w:r w:rsidR="000870F2" w:rsidRPr="00C210CA">
        <w:rPr>
          <w:rFonts w:asciiTheme="minorHAnsi" w:hAnsiTheme="minorHAnsi" w:cstheme="minorHAnsi"/>
        </w:rPr>
        <w:t xml:space="preserve"> or so </w:t>
      </w:r>
      <w:r w:rsidRPr="00C210CA">
        <w:rPr>
          <w:rFonts w:asciiTheme="minorHAnsi" w:hAnsiTheme="minorHAnsi" w:cstheme="minorHAnsi"/>
        </w:rPr>
        <w:lastRenderedPageBreak/>
        <w:t>organizations with clustered models and security structures, engaging with faith leaders among others. Similarly in Rwanda, groups are advancing rapidly in strength.</w:t>
      </w:r>
    </w:p>
    <w:p w:rsidR="00BD33D6" w:rsidRPr="00C210CA" w:rsidRDefault="00BD33D6" w:rsidP="00C210CA">
      <w:pPr>
        <w:pStyle w:val="BodyText"/>
        <w:spacing w:after="200"/>
        <w:ind w:left="0"/>
        <w:jc w:val="both"/>
        <w:rPr>
          <w:rFonts w:asciiTheme="minorHAnsi" w:hAnsiTheme="minorHAnsi" w:cstheme="minorHAnsi"/>
        </w:rPr>
      </w:pPr>
      <w:r w:rsidRPr="00C210CA">
        <w:rPr>
          <w:rFonts w:asciiTheme="minorHAnsi" w:hAnsiTheme="minorHAnsi" w:cstheme="minorHAnsi"/>
        </w:rPr>
        <w:t>The unprecedented attacks on key populations continue</w:t>
      </w:r>
      <w:r w:rsidR="000870F2" w:rsidRPr="00C210CA">
        <w:rPr>
          <w:rFonts w:asciiTheme="minorHAnsi" w:hAnsiTheme="minorHAnsi" w:cstheme="minorHAnsi"/>
        </w:rPr>
        <w:t xml:space="preserve"> </w:t>
      </w:r>
      <w:r w:rsidRPr="00C210CA">
        <w:rPr>
          <w:rFonts w:asciiTheme="minorHAnsi" w:hAnsiTheme="minorHAnsi" w:cstheme="minorHAnsi"/>
        </w:rPr>
        <w:t xml:space="preserve">unchecked. The region in the last few years has experienced an exponential rise in attacks on sex workers, LGBTI persons and people who use drugs. Kenya lost close to ten sex workers </w:t>
      </w:r>
      <w:r w:rsidR="000870F2" w:rsidRPr="00C210CA">
        <w:rPr>
          <w:rFonts w:asciiTheme="minorHAnsi" w:hAnsiTheme="minorHAnsi" w:cstheme="minorHAnsi"/>
        </w:rPr>
        <w:t xml:space="preserve">in two months </w:t>
      </w:r>
      <w:r w:rsidRPr="00C210CA">
        <w:rPr>
          <w:rFonts w:asciiTheme="minorHAnsi" w:hAnsiTheme="minorHAnsi" w:cstheme="minorHAnsi"/>
        </w:rPr>
        <w:t>under mysterious circumstances. Further</w:t>
      </w:r>
      <w:r w:rsidR="00AB5746">
        <w:rPr>
          <w:rFonts w:asciiTheme="minorHAnsi" w:hAnsiTheme="minorHAnsi" w:cstheme="minorHAnsi"/>
        </w:rPr>
        <w:t>,</w:t>
      </w:r>
      <w:r w:rsidRPr="00C210CA">
        <w:rPr>
          <w:rFonts w:asciiTheme="minorHAnsi" w:hAnsiTheme="minorHAnsi" w:cstheme="minorHAnsi"/>
        </w:rPr>
        <w:t xml:space="preserve"> with devolution has come the thirst to exact punitive laws that further put sex workers at risk including </w:t>
      </w:r>
      <w:r w:rsidR="009F0155" w:rsidRPr="00C210CA">
        <w:rPr>
          <w:rFonts w:asciiTheme="minorHAnsi" w:hAnsiTheme="minorHAnsi" w:cstheme="minorHAnsi"/>
        </w:rPr>
        <w:t xml:space="preserve">the </w:t>
      </w:r>
      <w:r w:rsidRPr="00C210CA">
        <w:rPr>
          <w:rFonts w:asciiTheme="minorHAnsi" w:hAnsiTheme="minorHAnsi" w:cstheme="minorHAnsi"/>
        </w:rPr>
        <w:t xml:space="preserve">recent passage of by-laws in a number of counties giving </w:t>
      </w:r>
      <w:r w:rsidR="009F0155" w:rsidRPr="00C210CA">
        <w:rPr>
          <w:rFonts w:asciiTheme="minorHAnsi" w:hAnsiTheme="minorHAnsi" w:cstheme="minorHAnsi"/>
        </w:rPr>
        <w:t xml:space="preserve">a </w:t>
      </w:r>
      <w:r w:rsidRPr="00C210CA">
        <w:rPr>
          <w:rFonts w:asciiTheme="minorHAnsi" w:hAnsiTheme="minorHAnsi" w:cstheme="minorHAnsi"/>
        </w:rPr>
        <w:t xml:space="preserve">boost to </w:t>
      </w:r>
      <w:r w:rsidR="009F0155" w:rsidRPr="00C210CA">
        <w:rPr>
          <w:rFonts w:asciiTheme="minorHAnsi" w:hAnsiTheme="minorHAnsi" w:cstheme="minorHAnsi"/>
        </w:rPr>
        <w:t xml:space="preserve">the </w:t>
      </w:r>
      <w:r w:rsidRPr="00C210CA">
        <w:rPr>
          <w:rFonts w:asciiTheme="minorHAnsi" w:hAnsiTheme="minorHAnsi" w:cstheme="minorHAnsi"/>
        </w:rPr>
        <w:t xml:space="preserve">unlawful arrests of sex workers by the police. After the Kenya </w:t>
      </w:r>
      <w:r w:rsidR="00AB5746">
        <w:rPr>
          <w:rFonts w:asciiTheme="minorHAnsi" w:hAnsiTheme="minorHAnsi" w:cstheme="minorHAnsi"/>
        </w:rPr>
        <w:t>p</w:t>
      </w:r>
      <w:r w:rsidRPr="00C210CA">
        <w:rPr>
          <w:rFonts w:asciiTheme="minorHAnsi" w:hAnsiTheme="minorHAnsi" w:cstheme="minorHAnsi"/>
        </w:rPr>
        <w:t xml:space="preserve">residential directive on the war </w:t>
      </w:r>
      <w:r w:rsidR="009F0155" w:rsidRPr="00C210CA">
        <w:rPr>
          <w:rFonts w:asciiTheme="minorHAnsi" w:hAnsiTheme="minorHAnsi" w:cstheme="minorHAnsi"/>
        </w:rPr>
        <w:t>on d</w:t>
      </w:r>
      <w:r w:rsidRPr="00C210CA">
        <w:rPr>
          <w:rFonts w:asciiTheme="minorHAnsi" w:hAnsiTheme="minorHAnsi" w:cstheme="minorHAnsi"/>
        </w:rPr>
        <w:t>rugs at the Kenya</w:t>
      </w:r>
      <w:r w:rsidR="00AB5746">
        <w:rPr>
          <w:rFonts w:asciiTheme="minorHAnsi" w:hAnsiTheme="minorHAnsi" w:cstheme="minorHAnsi"/>
        </w:rPr>
        <w:t>n</w:t>
      </w:r>
      <w:r w:rsidRPr="00C210CA">
        <w:rPr>
          <w:rFonts w:asciiTheme="minorHAnsi" w:hAnsiTheme="minorHAnsi" w:cstheme="minorHAnsi"/>
        </w:rPr>
        <w:t xml:space="preserve"> </w:t>
      </w:r>
      <w:r w:rsidR="009F0155" w:rsidRPr="00C210CA">
        <w:rPr>
          <w:rFonts w:asciiTheme="minorHAnsi" w:hAnsiTheme="minorHAnsi" w:cstheme="minorHAnsi"/>
        </w:rPr>
        <w:t>c</w:t>
      </w:r>
      <w:r w:rsidRPr="00C210CA">
        <w:rPr>
          <w:rFonts w:asciiTheme="minorHAnsi" w:hAnsiTheme="minorHAnsi" w:cstheme="minorHAnsi"/>
        </w:rPr>
        <w:t>oast, communities there have taken the war to mean attacks and killing of drug users which has created major challenges for harm reduction groups in the region.</w:t>
      </w:r>
    </w:p>
    <w:p w:rsidR="00BD33D6" w:rsidRPr="008017BB" w:rsidRDefault="00BD33D6" w:rsidP="00C210CA">
      <w:pPr>
        <w:spacing w:line="240" w:lineRule="auto"/>
        <w:jc w:val="both"/>
        <w:rPr>
          <w:rFonts w:cstheme="minorHAnsi"/>
          <w:b/>
        </w:rPr>
      </w:pPr>
    </w:p>
    <w:p w:rsidR="00C210CA" w:rsidRDefault="00C210CA">
      <w:pPr>
        <w:rPr>
          <w:rStyle w:val="IntenseEmphasis"/>
          <w:rFonts w:cstheme="minorHAnsi"/>
        </w:rPr>
      </w:pPr>
      <w:r>
        <w:rPr>
          <w:rStyle w:val="IntenseEmphasis"/>
          <w:rFonts w:cstheme="minorHAnsi"/>
        </w:rPr>
        <w:br w:type="page"/>
      </w:r>
    </w:p>
    <w:p w:rsidR="0044154B" w:rsidRDefault="0044154B" w:rsidP="00C210CA">
      <w:pPr>
        <w:spacing w:line="240" w:lineRule="auto"/>
        <w:jc w:val="both"/>
        <w:rPr>
          <w:rStyle w:val="IntenseEmphasis"/>
          <w:rFonts w:cstheme="minorHAnsi"/>
        </w:rPr>
      </w:pPr>
      <w:r>
        <w:rPr>
          <w:rStyle w:val="IntenseEmphasis"/>
          <w:rFonts w:cstheme="minorHAnsi"/>
        </w:rPr>
        <w:lastRenderedPageBreak/>
        <w:t>FOOD SECURITY</w:t>
      </w:r>
    </w:p>
    <w:p w:rsidR="003F7C41" w:rsidRPr="008017BB" w:rsidRDefault="00D60D7F" w:rsidP="00C210CA">
      <w:pPr>
        <w:spacing w:line="240" w:lineRule="auto"/>
        <w:jc w:val="both"/>
        <w:rPr>
          <w:rStyle w:val="IntenseEmphasis"/>
          <w:rFonts w:cstheme="minorHAnsi"/>
        </w:rPr>
      </w:pPr>
      <w:r>
        <w:rPr>
          <w:rStyle w:val="IntenseEmphasis"/>
          <w:rFonts w:cstheme="minorHAnsi"/>
        </w:rPr>
        <w:pict>
          <v:rect id="_x0000_i1031" style="width:0;height:1.5pt" o:hralign="center" o:hrstd="t" o:hr="t" fillcolor="#a0a0a0" stroked="f"/>
        </w:pict>
      </w:r>
    </w:p>
    <w:p w:rsidR="003F7C41" w:rsidRPr="008017BB" w:rsidRDefault="003F7C41" w:rsidP="00C210CA">
      <w:pPr>
        <w:spacing w:line="240" w:lineRule="auto"/>
        <w:jc w:val="both"/>
        <w:rPr>
          <w:rFonts w:cstheme="minorHAnsi"/>
        </w:rPr>
      </w:pPr>
      <w:r w:rsidRPr="008017BB">
        <w:rPr>
          <w:rFonts w:cstheme="minorHAnsi"/>
        </w:rPr>
        <w:t xml:space="preserve">During the year, </w:t>
      </w:r>
      <w:r w:rsidR="00BF1080" w:rsidRPr="008017BB">
        <w:rPr>
          <w:rFonts w:cstheme="minorHAnsi"/>
        </w:rPr>
        <w:t>the program’s</w:t>
      </w:r>
      <w:r w:rsidRPr="008017BB">
        <w:rPr>
          <w:rFonts w:cstheme="minorHAnsi"/>
        </w:rPr>
        <w:t xml:space="preserve"> ambitions were</w:t>
      </w:r>
      <w:r w:rsidR="00BF1080" w:rsidRPr="008017BB">
        <w:rPr>
          <w:rFonts w:cstheme="minorHAnsi"/>
        </w:rPr>
        <w:t xml:space="preserve"> to</w:t>
      </w:r>
      <w:r w:rsidRPr="008017BB">
        <w:rPr>
          <w:rFonts w:cstheme="minorHAnsi"/>
        </w:rPr>
        <w:t xml:space="preserve"> finalize program strategy development, kick</w:t>
      </w:r>
      <w:r w:rsidR="00BF1080" w:rsidRPr="008017BB">
        <w:rPr>
          <w:rFonts w:cstheme="minorHAnsi"/>
        </w:rPr>
        <w:t>-</w:t>
      </w:r>
      <w:r w:rsidRPr="008017BB">
        <w:rPr>
          <w:rFonts w:cstheme="minorHAnsi"/>
        </w:rPr>
        <w:t>start program implementation and expand the program</w:t>
      </w:r>
      <w:r w:rsidR="00F50C7D">
        <w:rPr>
          <w:rFonts w:cstheme="minorHAnsi"/>
        </w:rPr>
        <w:t>’</w:t>
      </w:r>
      <w:r w:rsidR="00BF1080" w:rsidRPr="008017BB">
        <w:rPr>
          <w:rFonts w:cstheme="minorHAnsi"/>
        </w:rPr>
        <w:t>s</w:t>
      </w:r>
      <w:r w:rsidRPr="008017BB">
        <w:rPr>
          <w:rFonts w:cstheme="minorHAnsi"/>
        </w:rPr>
        <w:t xml:space="preserve"> grant portfolio. </w:t>
      </w:r>
      <w:r w:rsidR="00BF1080" w:rsidRPr="008017BB">
        <w:rPr>
          <w:rFonts w:cstheme="minorHAnsi"/>
        </w:rPr>
        <w:t>A</w:t>
      </w:r>
      <w:r w:rsidRPr="008017BB">
        <w:rPr>
          <w:rFonts w:cstheme="minorHAnsi"/>
        </w:rPr>
        <w:t xml:space="preserve">fter a lengthy consultative process involving OSF programs and OSIEA, the program strategy was approved by the OSIEA </w:t>
      </w:r>
      <w:r w:rsidR="005851C7">
        <w:rPr>
          <w:rFonts w:cstheme="minorHAnsi"/>
        </w:rPr>
        <w:t xml:space="preserve">regional </w:t>
      </w:r>
      <w:r w:rsidR="00AB4E58">
        <w:rPr>
          <w:rFonts w:cstheme="minorHAnsi"/>
        </w:rPr>
        <w:t>board. This strategy was</w:t>
      </w:r>
      <w:r w:rsidRPr="008017BB">
        <w:rPr>
          <w:rFonts w:cstheme="minorHAnsi"/>
        </w:rPr>
        <w:t xml:space="preserve"> aligned to the OSF food security strategy for Africa. </w:t>
      </w:r>
      <w:r w:rsidR="00BF1080" w:rsidRPr="008017BB">
        <w:rPr>
          <w:rFonts w:cstheme="minorHAnsi"/>
        </w:rPr>
        <w:t>Moreover, t</w:t>
      </w:r>
      <w:r w:rsidRPr="008017BB">
        <w:rPr>
          <w:rFonts w:cstheme="minorHAnsi"/>
        </w:rPr>
        <w:t>he food security program</w:t>
      </w:r>
      <w:r w:rsidR="00BF1080" w:rsidRPr="008017BB">
        <w:rPr>
          <w:rFonts w:cstheme="minorHAnsi"/>
        </w:rPr>
        <w:t>’s</w:t>
      </w:r>
      <w:r w:rsidRPr="008017BB">
        <w:rPr>
          <w:rFonts w:cstheme="minorHAnsi"/>
        </w:rPr>
        <w:t xml:space="preserve"> grant</w:t>
      </w:r>
      <w:r w:rsidR="0085413A">
        <w:rPr>
          <w:rFonts w:cstheme="minorHAnsi"/>
        </w:rPr>
        <w:t>s</w:t>
      </w:r>
      <w:r w:rsidRPr="008017BB">
        <w:rPr>
          <w:rFonts w:cstheme="minorHAnsi"/>
        </w:rPr>
        <w:t xml:space="preserve"> portfolio significantly gr</w:t>
      </w:r>
      <w:r w:rsidR="00BF1080" w:rsidRPr="008017BB">
        <w:rPr>
          <w:rFonts w:cstheme="minorHAnsi"/>
        </w:rPr>
        <w:t>ew</w:t>
      </w:r>
      <w:r w:rsidRPr="008017BB">
        <w:rPr>
          <w:rFonts w:cstheme="minorHAnsi"/>
        </w:rPr>
        <w:t xml:space="preserve"> during the year</w:t>
      </w:r>
      <w:r w:rsidR="00B71363">
        <w:rPr>
          <w:rFonts w:cstheme="minorHAnsi"/>
        </w:rPr>
        <w:t xml:space="preserve">. </w:t>
      </w:r>
      <w:r w:rsidRPr="008017BB">
        <w:rPr>
          <w:rFonts w:cstheme="minorHAnsi"/>
        </w:rPr>
        <w:t xml:space="preserve">OSIEA has </w:t>
      </w:r>
      <w:r w:rsidR="00BF1080" w:rsidRPr="008017BB">
        <w:rPr>
          <w:rFonts w:cstheme="minorHAnsi"/>
        </w:rPr>
        <w:t xml:space="preserve">now </w:t>
      </w:r>
      <w:r w:rsidRPr="008017BB">
        <w:rPr>
          <w:rFonts w:cstheme="minorHAnsi"/>
        </w:rPr>
        <w:t xml:space="preserve">invested more than </w:t>
      </w:r>
      <w:r w:rsidR="00B71363" w:rsidRPr="008017BB">
        <w:rPr>
          <w:rFonts w:cstheme="minorHAnsi"/>
        </w:rPr>
        <w:t xml:space="preserve">USD </w:t>
      </w:r>
      <w:r w:rsidRPr="008017BB">
        <w:rPr>
          <w:rFonts w:cstheme="minorHAnsi"/>
        </w:rPr>
        <w:t>1.6 million in the region</w:t>
      </w:r>
      <w:r w:rsidR="00BF1080" w:rsidRPr="008017BB">
        <w:rPr>
          <w:rFonts w:cstheme="minorHAnsi"/>
        </w:rPr>
        <w:t xml:space="preserve"> related to food security programming</w:t>
      </w:r>
      <w:r w:rsidRPr="008017BB">
        <w:rPr>
          <w:rFonts w:cstheme="minorHAnsi"/>
        </w:rPr>
        <w:t xml:space="preserve">. </w:t>
      </w:r>
    </w:p>
    <w:p w:rsidR="003F7C41" w:rsidRPr="008017BB" w:rsidRDefault="009847E8" w:rsidP="00C210CA">
      <w:pPr>
        <w:spacing w:line="240" w:lineRule="auto"/>
        <w:jc w:val="both"/>
        <w:rPr>
          <w:rFonts w:cstheme="minorHAnsi"/>
        </w:rPr>
      </w:pPr>
      <w:r>
        <w:rPr>
          <w:rFonts w:cstheme="minorHAnsi"/>
        </w:rPr>
        <w:t>T</w:t>
      </w:r>
      <w:r w:rsidR="003F7C41" w:rsidRPr="008017BB">
        <w:rPr>
          <w:rFonts w:cstheme="minorHAnsi"/>
        </w:rPr>
        <w:t>he program kick</w:t>
      </w:r>
      <w:r w:rsidR="00BF1080" w:rsidRPr="008017BB">
        <w:rPr>
          <w:rFonts w:cstheme="minorHAnsi"/>
        </w:rPr>
        <w:t>-</w:t>
      </w:r>
      <w:r w:rsidR="003F7C41" w:rsidRPr="008017BB">
        <w:rPr>
          <w:rFonts w:cstheme="minorHAnsi"/>
        </w:rPr>
        <w:t xml:space="preserve">started </w:t>
      </w:r>
      <w:r w:rsidR="00BF1080" w:rsidRPr="008017BB">
        <w:rPr>
          <w:rFonts w:cstheme="minorHAnsi"/>
        </w:rPr>
        <w:t xml:space="preserve">the </w:t>
      </w:r>
      <w:r w:rsidR="00B71363">
        <w:rPr>
          <w:rFonts w:cstheme="minorHAnsi"/>
        </w:rPr>
        <w:t xml:space="preserve">implementation of </w:t>
      </w:r>
      <w:r w:rsidR="003F7C41" w:rsidRPr="008017BB">
        <w:rPr>
          <w:rFonts w:cstheme="minorHAnsi"/>
        </w:rPr>
        <w:t>four grants in Uganda and Tanzania</w:t>
      </w:r>
      <w:r w:rsidR="00B71363">
        <w:rPr>
          <w:rFonts w:cstheme="minorHAnsi"/>
        </w:rPr>
        <w:t xml:space="preserve">, targeting pastoral </w:t>
      </w:r>
      <w:r w:rsidR="003F7C41" w:rsidRPr="008017BB">
        <w:rPr>
          <w:rFonts w:cstheme="minorHAnsi"/>
        </w:rPr>
        <w:t>groups in Karamoja and Arusha</w:t>
      </w:r>
      <w:r w:rsidR="00B71363">
        <w:rPr>
          <w:rFonts w:cstheme="minorHAnsi"/>
        </w:rPr>
        <w:t xml:space="preserve"> </w:t>
      </w:r>
      <w:r w:rsidR="003F7C41" w:rsidRPr="008017BB">
        <w:rPr>
          <w:rFonts w:cstheme="minorHAnsi"/>
        </w:rPr>
        <w:t>respectively.</w:t>
      </w:r>
      <w:r w:rsidR="00B71363">
        <w:rPr>
          <w:rFonts w:cstheme="minorHAnsi"/>
        </w:rPr>
        <w:t xml:space="preserve"> </w:t>
      </w:r>
      <w:r w:rsidR="00BF1080" w:rsidRPr="008017BB">
        <w:rPr>
          <w:rFonts w:cstheme="minorHAnsi"/>
        </w:rPr>
        <w:t>W</w:t>
      </w:r>
      <w:r w:rsidR="003F7C41" w:rsidRPr="008017BB">
        <w:rPr>
          <w:rFonts w:cstheme="minorHAnsi"/>
        </w:rPr>
        <w:t>orking with Warrior Squad Foundation</w:t>
      </w:r>
      <w:r w:rsidR="00BF1080" w:rsidRPr="008017BB">
        <w:rPr>
          <w:rFonts w:cstheme="minorHAnsi"/>
        </w:rPr>
        <w:t xml:space="preserve"> </w:t>
      </w:r>
      <w:r w:rsidR="00141C00">
        <w:rPr>
          <w:rFonts w:cstheme="minorHAnsi"/>
        </w:rPr>
        <w:t xml:space="preserve">(WSF) </w:t>
      </w:r>
      <w:r w:rsidR="00BF1080" w:rsidRPr="008017BB">
        <w:rPr>
          <w:rFonts w:cstheme="minorHAnsi"/>
        </w:rPr>
        <w:t>in Karamoja</w:t>
      </w:r>
      <w:r w:rsidR="003F7C41" w:rsidRPr="008017BB">
        <w:rPr>
          <w:rFonts w:cstheme="minorHAnsi"/>
        </w:rPr>
        <w:t>, 2,544 community members were sensitized on land rights and pastoralism leading to the mapping of the livestock grazing routes in Kotido and Abim district</w:t>
      </w:r>
      <w:r w:rsidR="00BF1080" w:rsidRPr="008017BB">
        <w:rPr>
          <w:rFonts w:cstheme="minorHAnsi"/>
        </w:rPr>
        <w:t>s</w:t>
      </w:r>
      <w:r w:rsidR="003F7C41" w:rsidRPr="008017BB">
        <w:rPr>
          <w:rFonts w:cstheme="minorHAnsi"/>
        </w:rPr>
        <w:t>.</w:t>
      </w:r>
      <w:r w:rsidR="00B71363">
        <w:rPr>
          <w:rFonts w:cstheme="minorHAnsi"/>
        </w:rPr>
        <w:t xml:space="preserve"> </w:t>
      </w:r>
      <w:r w:rsidR="003F7C41" w:rsidRPr="008017BB">
        <w:rPr>
          <w:rFonts w:cstheme="minorHAnsi"/>
        </w:rPr>
        <w:t xml:space="preserve">Mapping of the cattle grazing corridors has significantly helped to support advocacy efforts for pastoralists to minimize land use conflicts with crop cultivators, support livestock mobility to mitigate drought and further enhance the availability of pasture and water for livestock. The program has established a pastoral stakeholder forum in Kotido district, </w:t>
      </w:r>
      <w:r w:rsidR="00372582">
        <w:rPr>
          <w:rFonts w:cstheme="minorHAnsi"/>
        </w:rPr>
        <w:t xml:space="preserve">which has </w:t>
      </w:r>
      <w:r w:rsidR="00BF1080" w:rsidRPr="008017BB">
        <w:rPr>
          <w:rFonts w:cstheme="minorHAnsi"/>
        </w:rPr>
        <w:t xml:space="preserve">advocated </w:t>
      </w:r>
      <w:r w:rsidR="003F7C41" w:rsidRPr="008017BB">
        <w:rPr>
          <w:rFonts w:cstheme="minorHAnsi"/>
        </w:rPr>
        <w:t xml:space="preserve">for increased budget allocation by local governments for </w:t>
      </w:r>
      <w:r w:rsidR="00BF1080" w:rsidRPr="008017BB">
        <w:rPr>
          <w:rFonts w:cstheme="minorHAnsi"/>
        </w:rPr>
        <w:t xml:space="preserve">the </w:t>
      </w:r>
      <w:r w:rsidR="003F7C41" w:rsidRPr="008017BB">
        <w:rPr>
          <w:rFonts w:cstheme="minorHAnsi"/>
        </w:rPr>
        <w:t xml:space="preserve">livestock sector.  </w:t>
      </w:r>
    </w:p>
    <w:p w:rsidR="003F7C41" w:rsidRPr="008017BB" w:rsidRDefault="003F7C41" w:rsidP="00C210CA">
      <w:pPr>
        <w:spacing w:line="240" w:lineRule="auto"/>
        <w:jc w:val="both"/>
        <w:rPr>
          <w:rFonts w:cstheme="minorHAnsi"/>
        </w:rPr>
      </w:pPr>
      <w:r w:rsidRPr="008017BB">
        <w:rPr>
          <w:rFonts w:cstheme="minorHAnsi"/>
        </w:rPr>
        <w:t>In partnership with Karamoja Development Forum (KDF)</w:t>
      </w:r>
      <w:r w:rsidR="00DB21E4" w:rsidRPr="00DB21E4">
        <w:rPr>
          <w:rFonts w:cstheme="minorHAnsi"/>
        </w:rPr>
        <w:t xml:space="preserve"> </w:t>
      </w:r>
      <w:r w:rsidR="00DB21E4">
        <w:rPr>
          <w:rFonts w:cstheme="minorHAnsi"/>
        </w:rPr>
        <w:t>(</w:t>
      </w:r>
      <w:hyperlink r:id="rId12" w:history="1">
        <w:r w:rsidR="00DB21E4" w:rsidRPr="007D03DD">
          <w:rPr>
            <w:rStyle w:val="Hyperlink"/>
            <w:rFonts w:cstheme="minorHAnsi"/>
            <w:color w:val="0070C0"/>
          </w:rPr>
          <w:t>www.kdfug.org</w:t>
        </w:r>
      </w:hyperlink>
      <w:r w:rsidR="00DB21E4">
        <w:rPr>
          <w:rFonts w:cstheme="minorHAnsi"/>
        </w:rPr>
        <w:t>)</w:t>
      </w:r>
      <w:r w:rsidRPr="008017BB">
        <w:rPr>
          <w:rFonts w:cstheme="minorHAnsi"/>
        </w:rPr>
        <w:t>, the program organized a Karamoja food security conference with over 500 members participating. As a result, the conference led to the development of two policy briefs titled</w:t>
      </w:r>
      <w:r w:rsidR="00141C00">
        <w:rPr>
          <w:rFonts w:cstheme="minorHAnsi"/>
        </w:rPr>
        <w:t>:</w:t>
      </w:r>
      <w:r w:rsidRPr="008017BB">
        <w:rPr>
          <w:rFonts w:cstheme="minorHAnsi"/>
        </w:rPr>
        <w:t xml:space="preserve"> </w:t>
      </w:r>
      <w:r w:rsidRPr="00141C00">
        <w:rPr>
          <w:rFonts w:cstheme="minorHAnsi"/>
        </w:rPr>
        <w:t>‘Karamoja food problem</w:t>
      </w:r>
      <w:r w:rsidR="00141C00">
        <w:rPr>
          <w:rFonts w:cstheme="minorHAnsi"/>
        </w:rPr>
        <w:t>’ and ‘</w:t>
      </w:r>
      <w:r w:rsidRPr="00141C00">
        <w:rPr>
          <w:rFonts w:cstheme="minorHAnsi"/>
        </w:rPr>
        <w:t>The cattle crisis and The need for change of strate</w:t>
      </w:r>
      <w:r w:rsidRPr="00FA19EF">
        <w:rPr>
          <w:rFonts w:cstheme="minorHAnsi"/>
        </w:rPr>
        <w:t>gy’</w:t>
      </w:r>
      <w:r w:rsidR="00FA19EF" w:rsidRPr="00FA19EF">
        <w:rPr>
          <w:rFonts w:cstheme="minorHAnsi"/>
        </w:rPr>
        <w:t xml:space="preserve">, as well </w:t>
      </w:r>
      <w:r w:rsidR="00FA19EF">
        <w:rPr>
          <w:rFonts w:cstheme="minorHAnsi"/>
        </w:rPr>
        <w:t xml:space="preserve">as </w:t>
      </w:r>
      <w:r w:rsidRPr="008017BB">
        <w:rPr>
          <w:rFonts w:cstheme="minorHAnsi"/>
        </w:rPr>
        <w:t xml:space="preserve">other initiatives like </w:t>
      </w:r>
      <w:r w:rsidR="00BF1080" w:rsidRPr="008017BB">
        <w:rPr>
          <w:rFonts w:cstheme="minorHAnsi"/>
        </w:rPr>
        <w:t xml:space="preserve">the </w:t>
      </w:r>
      <w:r w:rsidRPr="008017BB">
        <w:rPr>
          <w:rFonts w:cstheme="minorHAnsi"/>
        </w:rPr>
        <w:t>establishment of a Pastoralist Info</w:t>
      </w:r>
      <w:r w:rsidR="00FA19EF">
        <w:rPr>
          <w:rFonts w:cstheme="minorHAnsi"/>
        </w:rPr>
        <w:t>rmation Center (PIC) in Moroto, which has</w:t>
      </w:r>
      <w:r w:rsidRPr="008017BB">
        <w:rPr>
          <w:rFonts w:cstheme="minorHAnsi"/>
        </w:rPr>
        <w:t xml:space="preserve"> </w:t>
      </w:r>
      <w:r w:rsidR="00BF1080" w:rsidRPr="008017BB">
        <w:rPr>
          <w:rFonts w:cstheme="minorHAnsi"/>
        </w:rPr>
        <w:t xml:space="preserve">a </w:t>
      </w:r>
      <w:r w:rsidRPr="008017BB">
        <w:rPr>
          <w:rFonts w:cstheme="minorHAnsi"/>
        </w:rPr>
        <w:t>toll free Interactive Voice Response (IVR) system</w:t>
      </w:r>
      <w:r w:rsidR="009847E8">
        <w:rPr>
          <w:rFonts w:cstheme="minorHAnsi"/>
        </w:rPr>
        <w:t xml:space="preserve"> that is directly linked to </w:t>
      </w:r>
      <w:r w:rsidRPr="008017BB">
        <w:rPr>
          <w:rFonts w:cstheme="minorHAnsi"/>
        </w:rPr>
        <w:t xml:space="preserve">kraal information structures. OSIEA has created opportunities for dialogue on pastoralism and food security in Karamoja. </w:t>
      </w:r>
      <w:r w:rsidR="008548DD">
        <w:rPr>
          <w:rFonts w:cstheme="minorHAnsi"/>
        </w:rPr>
        <w:t>The program is</w:t>
      </w:r>
      <w:r w:rsidRPr="008017BB">
        <w:rPr>
          <w:rFonts w:cstheme="minorHAnsi"/>
        </w:rPr>
        <w:t xml:space="preserve"> building a network of advocates for pastoralism as a viable livelihood system for food security in Karamoja. </w:t>
      </w:r>
    </w:p>
    <w:p w:rsidR="003F7C41" w:rsidRPr="008017BB" w:rsidRDefault="003F7C41" w:rsidP="00C210CA">
      <w:pPr>
        <w:spacing w:line="240" w:lineRule="auto"/>
        <w:jc w:val="both"/>
        <w:rPr>
          <w:rFonts w:cstheme="minorHAnsi"/>
        </w:rPr>
      </w:pPr>
      <w:r w:rsidRPr="008017BB">
        <w:rPr>
          <w:rFonts w:cstheme="minorHAnsi"/>
        </w:rPr>
        <w:t xml:space="preserve">Working with the Center for Climate Change Studies </w:t>
      </w:r>
      <w:r w:rsidR="0081406D" w:rsidRPr="008017BB">
        <w:rPr>
          <w:rFonts w:cstheme="minorHAnsi"/>
        </w:rPr>
        <w:t xml:space="preserve">at the </w:t>
      </w:r>
      <w:r w:rsidR="00ED3482">
        <w:rPr>
          <w:rFonts w:cstheme="minorHAnsi"/>
        </w:rPr>
        <w:t xml:space="preserve">University of Dar </w:t>
      </w:r>
      <w:r w:rsidRPr="008017BB">
        <w:rPr>
          <w:rFonts w:cstheme="minorHAnsi"/>
        </w:rPr>
        <w:t>es</w:t>
      </w:r>
      <w:r w:rsidR="00ED3482">
        <w:rPr>
          <w:rFonts w:cstheme="minorHAnsi"/>
        </w:rPr>
        <w:t xml:space="preserve"> </w:t>
      </w:r>
      <w:r w:rsidRPr="008017BB">
        <w:rPr>
          <w:rFonts w:cstheme="minorHAnsi"/>
        </w:rPr>
        <w:t xml:space="preserve">Salaam, the program has supported research on building </w:t>
      </w:r>
      <w:r w:rsidR="0081406D" w:rsidRPr="008017BB">
        <w:rPr>
          <w:rFonts w:cstheme="minorHAnsi"/>
        </w:rPr>
        <w:t>k</w:t>
      </w:r>
      <w:r w:rsidRPr="008017BB">
        <w:rPr>
          <w:rFonts w:cstheme="minorHAnsi"/>
        </w:rPr>
        <w:t xml:space="preserve">nowledge to </w:t>
      </w:r>
      <w:r w:rsidR="0081406D" w:rsidRPr="008017BB">
        <w:rPr>
          <w:rFonts w:cstheme="minorHAnsi"/>
        </w:rPr>
        <w:t>s</w:t>
      </w:r>
      <w:r w:rsidRPr="008017BB">
        <w:rPr>
          <w:rFonts w:cstheme="minorHAnsi"/>
        </w:rPr>
        <w:t xml:space="preserve">upport </w:t>
      </w:r>
      <w:r w:rsidR="0081406D" w:rsidRPr="008017BB">
        <w:rPr>
          <w:rFonts w:cstheme="minorHAnsi"/>
        </w:rPr>
        <w:t>c</w:t>
      </w:r>
      <w:r w:rsidRPr="008017BB">
        <w:rPr>
          <w:rFonts w:cstheme="minorHAnsi"/>
        </w:rPr>
        <w:t>limate</w:t>
      </w:r>
      <w:r w:rsidR="009847E8">
        <w:rPr>
          <w:rFonts w:cstheme="minorHAnsi"/>
        </w:rPr>
        <w:t xml:space="preserve"> </w:t>
      </w:r>
      <w:r w:rsidR="0081406D" w:rsidRPr="008017BB">
        <w:rPr>
          <w:rFonts w:cstheme="minorHAnsi"/>
        </w:rPr>
        <w:t>c</w:t>
      </w:r>
      <w:r w:rsidRPr="008017BB">
        <w:rPr>
          <w:rFonts w:cstheme="minorHAnsi"/>
        </w:rPr>
        <w:t xml:space="preserve">hange </w:t>
      </w:r>
      <w:r w:rsidR="0081406D" w:rsidRPr="008017BB">
        <w:rPr>
          <w:rFonts w:cstheme="minorHAnsi"/>
        </w:rPr>
        <w:t>a</w:t>
      </w:r>
      <w:r w:rsidRPr="008017BB">
        <w:rPr>
          <w:rFonts w:cstheme="minorHAnsi"/>
        </w:rPr>
        <w:t xml:space="preserve">daptation for </w:t>
      </w:r>
      <w:r w:rsidR="0081406D" w:rsidRPr="008017BB">
        <w:rPr>
          <w:rFonts w:cstheme="minorHAnsi"/>
        </w:rPr>
        <w:t>p</w:t>
      </w:r>
      <w:r w:rsidRPr="008017BB">
        <w:rPr>
          <w:rFonts w:cstheme="minorHAnsi"/>
        </w:rPr>
        <w:t xml:space="preserve">astoralist </w:t>
      </w:r>
      <w:r w:rsidR="0081406D" w:rsidRPr="008017BB">
        <w:rPr>
          <w:rFonts w:cstheme="minorHAnsi"/>
        </w:rPr>
        <w:t>c</w:t>
      </w:r>
      <w:r w:rsidR="00252744">
        <w:rPr>
          <w:rFonts w:cstheme="minorHAnsi"/>
        </w:rPr>
        <w:t>ommunities in Eastern Africa; t</w:t>
      </w:r>
      <w:r w:rsidRPr="008017BB">
        <w:rPr>
          <w:rFonts w:cstheme="minorHAnsi"/>
        </w:rPr>
        <w:t xml:space="preserve">he program is finalizing a </w:t>
      </w:r>
      <w:r w:rsidR="0081406D" w:rsidRPr="008017BB">
        <w:rPr>
          <w:rFonts w:cstheme="minorHAnsi"/>
        </w:rPr>
        <w:t>m</w:t>
      </w:r>
      <w:r w:rsidRPr="008017BB">
        <w:rPr>
          <w:rFonts w:cstheme="minorHAnsi"/>
        </w:rPr>
        <w:t>onograph on pastoralism and c</w:t>
      </w:r>
      <w:r w:rsidR="0016624A">
        <w:rPr>
          <w:rFonts w:cstheme="minorHAnsi"/>
        </w:rPr>
        <w:t xml:space="preserve">limate change in OSIEA’s </w:t>
      </w:r>
      <w:r w:rsidRPr="008017BB">
        <w:rPr>
          <w:rFonts w:cstheme="minorHAnsi"/>
        </w:rPr>
        <w:t>countries</w:t>
      </w:r>
      <w:r w:rsidR="0016624A">
        <w:rPr>
          <w:rFonts w:cstheme="minorHAnsi"/>
        </w:rPr>
        <w:t xml:space="preserve"> of operation</w:t>
      </w:r>
      <w:r w:rsidRPr="008017BB">
        <w:rPr>
          <w:rFonts w:cstheme="minorHAnsi"/>
        </w:rPr>
        <w:t>. This monograph features chapters by princip</w:t>
      </w:r>
      <w:r w:rsidR="0081406D" w:rsidRPr="008017BB">
        <w:rPr>
          <w:rFonts w:cstheme="minorHAnsi"/>
        </w:rPr>
        <w:t>a</w:t>
      </w:r>
      <w:r w:rsidR="009847E8">
        <w:rPr>
          <w:rFonts w:cstheme="minorHAnsi"/>
        </w:rPr>
        <w:t>l</w:t>
      </w:r>
      <w:r w:rsidRPr="008017BB">
        <w:rPr>
          <w:rFonts w:cstheme="minorHAnsi"/>
        </w:rPr>
        <w:t xml:space="preserve"> investigators from different universities in Eastern Africa. In addition to research, the program has finalized drafting a teaching curriculum for </w:t>
      </w:r>
      <w:r w:rsidR="0081406D" w:rsidRPr="008017BB">
        <w:rPr>
          <w:rFonts w:cstheme="minorHAnsi"/>
        </w:rPr>
        <w:t xml:space="preserve">a </w:t>
      </w:r>
      <w:r w:rsidRPr="008017BB">
        <w:rPr>
          <w:rFonts w:cstheme="minorHAnsi"/>
        </w:rPr>
        <w:t xml:space="preserve">short course on pastoralism and climate change. This course will be administered by the </w:t>
      </w:r>
      <w:r w:rsidR="0081406D" w:rsidRPr="008017BB">
        <w:rPr>
          <w:rFonts w:cstheme="minorHAnsi"/>
        </w:rPr>
        <w:t>C</w:t>
      </w:r>
      <w:r w:rsidRPr="008017BB">
        <w:rPr>
          <w:rFonts w:cstheme="minorHAnsi"/>
        </w:rPr>
        <w:t xml:space="preserve">enter for </w:t>
      </w:r>
      <w:r w:rsidR="0081406D" w:rsidRPr="008017BB">
        <w:rPr>
          <w:rFonts w:cstheme="minorHAnsi"/>
        </w:rPr>
        <w:t>C</w:t>
      </w:r>
      <w:r w:rsidRPr="008017BB">
        <w:rPr>
          <w:rFonts w:cstheme="minorHAnsi"/>
        </w:rPr>
        <w:t xml:space="preserve">limate </w:t>
      </w:r>
      <w:r w:rsidR="0081406D" w:rsidRPr="008017BB">
        <w:rPr>
          <w:rFonts w:cstheme="minorHAnsi"/>
        </w:rPr>
        <w:t>C</w:t>
      </w:r>
      <w:r w:rsidR="00252744">
        <w:rPr>
          <w:rFonts w:cstheme="minorHAnsi"/>
        </w:rPr>
        <w:t xml:space="preserve">hange at the University of Dar </w:t>
      </w:r>
      <w:r w:rsidRPr="008017BB">
        <w:rPr>
          <w:rFonts w:cstheme="minorHAnsi"/>
        </w:rPr>
        <w:t>es</w:t>
      </w:r>
      <w:r w:rsidR="00252744">
        <w:rPr>
          <w:rFonts w:cstheme="minorHAnsi"/>
        </w:rPr>
        <w:t xml:space="preserve"> </w:t>
      </w:r>
      <w:r w:rsidRPr="008017BB">
        <w:rPr>
          <w:rFonts w:cstheme="minorHAnsi"/>
        </w:rPr>
        <w:t>Salaam and so far, two students have been offered scholarships to undertake climate change studies at masters</w:t>
      </w:r>
      <w:r w:rsidR="009847E8">
        <w:rPr>
          <w:rFonts w:cstheme="minorHAnsi"/>
        </w:rPr>
        <w:t>’</w:t>
      </w:r>
      <w:r w:rsidRPr="008017BB">
        <w:rPr>
          <w:rFonts w:cstheme="minorHAnsi"/>
        </w:rPr>
        <w:t xml:space="preserve"> level.  Forty community leaders from </w:t>
      </w:r>
      <w:r w:rsidR="000E32E9" w:rsidRPr="008017BB">
        <w:rPr>
          <w:rFonts w:cstheme="minorHAnsi"/>
        </w:rPr>
        <w:t>pastoralists’</w:t>
      </w:r>
      <w:r w:rsidRPr="008017BB">
        <w:rPr>
          <w:rFonts w:cstheme="minorHAnsi"/>
        </w:rPr>
        <w:t xml:space="preserve"> development in government, NGOs and CBOs in Arusha Region</w:t>
      </w:r>
      <w:r w:rsidR="000E32E9">
        <w:rPr>
          <w:rFonts w:cstheme="minorHAnsi"/>
        </w:rPr>
        <w:t>, Loliondo, Longido and Monduli di</w:t>
      </w:r>
      <w:r w:rsidRPr="008017BB">
        <w:rPr>
          <w:rFonts w:cstheme="minorHAnsi"/>
        </w:rPr>
        <w:t>stricts have been trained on climate change and food security in the context of pastoralism.</w:t>
      </w:r>
    </w:p>
    <w:p w:rsidR="003F7C41" w:rsidRDefault="003F7C41" w:rsidP="00C210CA">
      <w:pPr>
        <w:spacing w:line="240" w:lineRule="auto"/>
        <w:jc w:val="both"/>
        <w:rPr>
          <w:rFonts w:cstheme="minorHAnsi"/>
        </w:rPr>
      </w:pPr>
      <w:r w:rsidRPr="008017BB">
        <w:rPr>
          <w:rFonts w:cstheme="minorHAnsi"/>
        </w:rPr>
        <w:t xml:space="preserve">In partnership with Community Research and Development Services (CORDs), OSIEA has mobilized communities </w:t>
      </w:r>
      <w:r w:rsidR="0081406D" w:rsidRPr="008017BB">
        <w:rPr>
          <w:rFonts w:cstheme="minorHAnsi"/>
        </w:rPr>
        <w:t xml:space="preserve">to </w:t>
      </w:r>
      <w:r w:rsidRPr="008017BB">
        <w:rPr>
          <w:rFonts w:cstheme="minorHAnsi"/>
        </w:rPr>
        <w:t>secur</w:t>
      </w:r>
      <w:r w:rsidR="0081406D" w:rsidRPr="008017BB">
        <w:rPr>
          <w:rFonts w:cstheme="minorHAnsi"/>
        </w:rPr>
        <w:t xml:space="preserve">e </w:t>
      </w:r>
      <w:r w:rsidRPr="008017BB">
        <w:rPr>
          <w:rFonts w:cstheme="minorHAnsi"/>
        </w:rPr>
        <w:t>resource ten</w:t>
      </w:r>
      <w:r w:rsidR="00D11EE1">
        <w:rPr>
          <w:rFonts w:cstheme="minorHAnsi"/>
        </w:rPr>
        <w:t>ure of pastoral communities in six</w:t>
      </w:r>
      <w:r w:rsidRPr="008017BB">
        <w:rPr>
          <w:rFonts w:cstheme="minorHAnsi"/>
        </w:rPr>
        <w:t xml:space="preserve"> villages in Monduli and Kiteto through land use planning</w:t>
      </w:r>
      <w:r w:rsidR="0081406D" w:rsidRPr="008017BB">
        <w:rPr>
          <w:rFonts w:cstheme="minorHAnsi"/>
        </w:rPr>
        <w:t xml:space="preserve">. As </w:t>
      </w:r>
      <w:r w:rsidRPr="008017BB">
        <w:rPr>
          <w:rFonts w:cstheme="minorHAnsi"/>
        </w:rPr>
        <w:t xml:space="preserve">a result, specific land use zones have been clearly defined and digitized. The program has established </w:t>
      </w:r>
      <w:r w:rsidR="0081406D" w:rsidRPr="008017BB">
        <w:rPr>
          <w:rFonts w:cstheme="minorHAnsi"/>
        </w:rPr>
        <w:t>v</w:t>
      </w:r>
      <w:r w:rsidRPr="008017BB">
        <w:rPr>
          <w:rFonts w:cstheme="minorHAnsi"/>
        </w:rPr>
        <w:t xml:space="preserve">illage institutions for land management such as </w:t>
      </w:r>
      <w:r w:rsidR="0081406D" w:rsidRPr="008017BB">
        <w:rPr>
          <w:rFonts w:cstheme="minorHAnsi"/>
        </w:rPr>
        <w:t>v</w:t>
      </w:r>
      <w:r w:rsidRPr="008017BB">
        <w:rPr>
          <w:rFonts w:cstheme="minorHAnsi"/>
        </w:rPr>
        <w:t>illage land council</w:t>
      </w:r>
      <w:r w:rsidR="00D11EE1">
        <w:rPr>
          <w:rFonts w:cstheme="minorHAnsi"/>
        </w:rPr>
        <w:t>s;</w:t>
      </w:r>
      <w:r w:rsidR="0081406D" w:rsidRPr="008017BB">
        <w:rPr>
          <w:rFonts w:cstheme="minorHAnsi"/>
        </w:rPr>
        <w:t xml:space="preserve"> this </w:t>
      </w:r>
      <w:r w:rsidRPr="008017BB">
        <w:rPr>
          <w:rFonts w:cstheme="minorHAnsi"/>
        </w:rPr>
        <w:t xml:space="preserve">has minimized conflicts related to resource use. The program has further undertaken awareness campaigns on </w:t>
      </w:r>
      <w:r w:rsidR="0081406D" w:rsidRPr="008017BB">
        <w:rPr>
          <w:rFonts w:cstheme="minorHAnsi"/>
        </w:rPr>
        <w:t xml:space="preserve">the </w:t>
      </w:r>
      <w:r w:rsidRPr="008017BB">
        <w:rPr>
          <w:rFonts w:cstheme="minorHAnsi"/>
        </w:rPr>
        <w:t xml:space="preserve">effects of climate change at Lepurko, Nanja and Eng’arooji villages and this has led to </w:t>
      </w:r>
      <w:r w:rsidR="0081406D" w:rsidRPr="008017BB">
        <w:rPr>
          <w:rFonts w:cstheme="minorHAnsi"/>
        </w:rPr>
        <w:t xml:space="preserve">the </w:t>
      </w:r>
      <w:r w:rsidRPr="008017BB">
        <w:rPr>
          <w:rFonts w:cstheme="minorHAnsi"/>
        </w:rPr>
        <w:t xml:space="preserve">development of climate </w:t>
      </w:r>
      <w:r w:rsidR="0081406D" w:rsidRPr="008017BB">
        <w:rPr>
          <w:rFonts w:cstheme="minorHAnsi"/>
        </w:rPr>
        <w:t>c</w:t>
      </w:r>
      <w:r w:rsidRPr="008017BB">
        <w:rPr>
          <w:rFonts w:cstheme="minorHAnsi"/>
        </w:rPr>
        <w:t xml:space="preserve">hange </w:t>
      </w:r>
      <w:r w:rsidR="0081406D" w:rsidRPr="008017BB">
        <w:rPr>
          <w:rFonts w:cstheme="minorHAnsi"/>
        </w:rPr>
        <w:t>a</w:t>
      </w:r>
      <w:r w:rsidRPr="008017BB">
        <w:rPr>
          <w:rFonts w:cstheme="minorHAnsi"/>
        </w:rPr>
        <w:t xml:space="preserve">daptation </w:t>
      </w:r>
      <w:r w:rsidR="0081406D" w:rsidRPr="008017BB">
        <w:rPr>
          <w:rFonts w:cstheme="minorHAnsi"/>
        </w:rPr>
        <w:t>p</w:t>
      </w:r>
      <w:r w:rsidRPr="008017BB">
        <w:rPr>
          <w:rFonts w:cstheme="minorHAnsi"/>
        </w:rPr>
        <w:t>lans for respective communities. The plans integrate Indigenous kno</w:t>
      </w:r>
      <w:r w:rsidR="009847E8">
        <w:rPr>
          <w:rFonts w:cstheme="minorHAnsi"/>
        </w:rPr>
        <w:t>wledge on forecasting drought.</w:t>
      </w:r>
    </w:p>
    <w:p w:rsidR="0081406D" w:rsidRPr="008017BB" w:rsidRDefault="003F7C41" w:rsidP="00C210CA">
      <w:pPr>
        <w:spacing w:line="240" w:lineRule="auto"/>
        <w:jc w:val="both"/>
        <w:rPr>
          <w:rFonts w:cstheme="minorHAnsi"/>
        </w:rPr>
      </w:pPr>
      <w:r w:rsidRPr="008017BB">
        <w:rPr>
          <w:rFonts w:cstheme="minorHAnsi"/>
        </w:rPr>
        <w:t>Amidst this progress, the program faced some setbacks</w:t>
      </w:r>
      <w:r w:rsidR="00D11EE1">
        <w:rPr>
          <w:rFonts w:cstheme="minorHAnsi"/>
        </w:rPr>
        <w:t xml:space="preserve">. </w:t>
      </w:r>
      <w:r w:rsidRPr="008017BB">
        <w:rPr>
          <w:rFonts w:cstheme="minorHAnsi"/>
        </w:rPr>
        <w:t xml:space="preserve">Strategically, the target areas experienced drought and el-nino rains that directly affected livestock. For example, due to water stress in Turkana, </w:t>
      </w:r>
      <w:r w:rsidRPr="008017BB">
        <w:rPr>
          <w:rFonts w:cstheme="minorHAnsi"/>
        </w:rPr>
        <w:lastRenderedPageBreak/>
        <w:t xml:space="preserve">there was conflict between Turkana and Karamoja pastoralists along the border between Kenya and Uganda with both communities struggling to access water at </w:t>
      </w:r>
      <w:r w:rsidR="0081406D" w:rsidRPr="008017BB">
        <w:rPr>
          <w:rFonts w:cstheme="minorHAnsi"/>
        </w:rPr>
        <w:t xml:space="preserve">the </w:t>
      </w:r>
      <w:r w:rsidRPr="008017BB">
        <w:rPr>
          <w:rFonts w:cstheme="minorHAnsi"/>
        </w:rPr>
        <w:t xml:space="preserve">Kobebe dam. Intense rains at the end of the year led to increased livestock disease outbreaks along the cattle corridors.  At community level, there are multiple actors both government and CSOs implementing different ‘livelihood’ projects and often these interventions undermine pastoralism. </w:t>
      </w:r>
    </w:p>
    <w:p w:rsidR="003F7C41" w:rsidRPr="008017BB" w:rsidRDefault="003F7C41" w:rsidP="00C210CA">
      <w:pPr>
        <w:spacing w:line="240" w:lineRule="auto"/>
        <w:jc w:val="both"/>
        <w:rPr>
          <w:rFonts w:cstheme="minorHAnsi"/>
        </w:rPr>
      </w:pPr>
      <w:r w:rsidRPr="008017BB">
        <w:rPr>
          <w:rFonts w:cstheme="minorHAnsi"/>
        </w:rPr>
        <w:t>Operationally, identifying organizations to implement programs in pastoralist areas remains a chal</w:t>
      </w:r>
      <w:r w:rsidR="00D11EE1">
        <w:rPr>
          <w:rFonts w:cstheme="minorHAnsi"/>
        </w:rPr>
        <w:t>lenge in several ways:</w:t>
      </w:r>
      <w:r w:rsidRPr="008017BB">
        <w:rPr>
          <w:rFonts w:cstheme="minorHAnsi"/>
        </w:rPr>
        <w:t xml:space="preserve"> first these communities have few local</w:t>
      </w:r>
      <w:r w:rsidR="00D11EE1">
        <w:rPr>
          <w:rFonts w:cstheme="minorHAnsi"/>
        </w:rPr>
        <w:t xml:space="preserve"> actors and where they exist they</w:t>
      </w:r>
      <w:r w:rsidR="009847E8">
        <w:rPr>
          <w:rFonts w:cstheme="minorHAnsi"/>
        </w:rPr>
        <w:t xml:space="preserve"> </w:t>
      </w:r>
      <w:r w:rsidRPr="008017BB">
        <w:rPr>
          <w:rFonts w:cstheme="minorHAnsi"/>
        </w:rPr>
        <w:t xml:space="preserve">have weak organizational capacity. In a related development, </w:t>
      </w:r>
      <w:r w:rsidR="00D11EE1">
        <w:rPr>
          <w:rFonts w:cstheme="minorHAnsi"/>
        </w:rPr>
        <w:t>the program cancelled a grant to</w:t>
      </w:r>
      <w:r w:rsidRPr="008017BB">
        <w:rPr>
          <w:rFonts w:cstheme="minorHAnsi"/>
        </w:rPr>
        <w:t xml:space="preserve"> Dry </w:t>
      </w:r>
      <w:r w:rsidR="0081406D" w:rsidRPr="008017BB">
        <w:rPr>
          <w:rFonts w:cstheme="minorHAnsi"/>
        </w:rPr>
        <w:t>L</w:t>
      </w:r>
      <w:r w:rsidRPr="008017BB">
        <w:rPr>
          <w:rFonts w:cstheme="minorHAnsi"/>
        </w:rPr>
        <w:t xml:space="preserve">ands Community Initiative (DLCI) which was meant to address land use conflicts between </w:t>
      </w:r>
      <w:r w:rsidR="0081406D" w:rsidRPr="008017BB">
        <w:rPr>
          <w:rFonts w:cstheme="minorHAnsi"/>
        </w:rPr>
        <w:t xml:space="preserve">the </w:t>
      </w:r>
      <w:r w:rsidRPr="008017BB">
        <w:rPr>
          <w:rFonts w:cstheme="minorHAnsi"/>
        </w:rPr>
        <w:t xml:space="preserve">Karamoja and Turkana. This affected </w:t>
      </w:r>
      <w:r w:rsidR="008B094E">
        <w:rPr>
          <w:rFonts w:cstheme="minorHAnsi"/>
        </w:rPr>
        <w:t xml:space="preserve">OSIEA’s </w:t>
      </w:r>
      <w:r w:rsidRPr="008017BB">
        <w:rPr>
          <w:rFonts w:cstheme="minorHAnsi"/>
        </w:rPr>
        <w:t xml:space="preserve">ability to address land use planning in these areas. To address some of these challenges, </w:t>
      </w:r>
      <w:r w:rsidR="008B094E">
        <w:rPr>
          <w:rFonts w:cstheme="minorHAnsi"/>
        </w:rPr>
        <w:t>OSIEA</w:t>
      </w:r>
      <w:r w:rsidRPr="008017BB">
        <w:rPr>
          <w:rFonts w:cstheme="minorHAnsi"/>
        </w:rPr>
        <w:t xml:space="preserve"> continued to support grantees through regular reflections and subsequent grant making is informed by the les</w:t>
      </w:r>
      <w:r w:rsidR="00D11EE1">
        <w:rPr>
          <w:rFonts w:cstheme="minorHAnsi"/>
        </w:rPr>
        <w:t>sons</w:t>
      </w:r>
      <w:r w:rsidRPr="008017BB">
        <w:rPr>
          <w:rFonts w:cstheme="minorHAnsi"/>
        </w:rPr>
        <w:t xml:space="preserve"> take</w:t>
      </w:r>
      <w:r w:rsidR="008B094E">
        <w:rPr>
          <w:rFonts w:cstheme="minorHAnsi"/>
        </w:rPr>
        <w:t>n</w:t>
      </w:r>
      <w:r w:rsidRPr="008017BB">
        <w:rPr>
          <w:rFonts w:cstheme="minorHAnsi"/>
        </w:rPr>
        <w:t xml:space="preserve"> from the field. </w:t>
      </w:r>
      <w:r w:rsidR="00BB2E5B">
        <w:rPr>
          <w:rFonts w:cstheme="minorHAnsi"/>
        </w:rPr>
        <w:t>Relatedly, a</w:t>
      </w:r>
      <w:r w:rsidRPr="008017BB">
        <w:rPr>
          <w:rFonts w:cstheme="minorHAnsi"/>
        </w:rPr>
        <w:t xml:space="preserve">t the end of 2015 OSIEA further approved and disbursed funds for five more grants to support programing in Turkana and Karamoja. These grants focus on drought mitigation, water infrastructure development and livestock health management.  </w:t>
      </w:r>
    </w:p>
    <w:p w:rsidR="003F7C41" w:rsidRPr="008017BB" w:rsidRDefault="00176CAA" w:rsidP="00C210CA">
      <w:pPr>
        <w:spacing w:line="240" w:lineRule="auto"/>
        <w:jc w:val="both"/>
        <w:rPr>
          <w:rFonts w:cstheme="minorHAnsi"/>
        </w:rPr>
      </w:pPr>
      <w:r>
        <w:rPr>
          <w:rFonts w:cstheme="minorHAnsi"/>
        </w:rPr>
        <w:t>Surprisingly</w:t>
      </w:r>
      <w:r w:rsidR="003F7C41" w:rsidRPr="008017BB">
        <w:rPr>
          <w:rFonts w:cstheme="minorHAnsi"/>
        </w:rPr>
        <w:t>, dur</w:t>
      </w:r>
      <w:r>
        <w:rPr>
          <w:rFonts w:cstheme="minorHAnsi"/>
        </w:rPr>
        <w:t xml:space="preserve">ing </w:t>
      </w:r>
      <w:r w:rsidR="008B094E">
        <w:rPr>
          <w:rFonts w:cstheme="minorHAnsi"/>
        </w:rPr>
        <w:t>a</w:t>
      </w:r>
      <w:r>
        <w:rPr>
          <w:rFonts w:cstheme="minorHAnsi"/>
        </w:rPr>
        <w:t xml:space="preserve"> partner review meeting </w:t>
      </w:r>
      <w:r w:rsidR="008A22CC">
        <w:rPr>
          <w:rFonts w:cstheme="minorHAnsi"/>
        </w:rPr>
        <w:t>it was observed that the</w:t>
      </w:r>
      <w:r w:rsidR="003F7C41" w:rsidRPr="008017BB">
        <w:rPr>
          <w:rFonts w:cstheme="minorHAnsi"/>
        </w:rPr>
        <w:t xml:space="preserve"> interventions are </w:t>
      </w:r>
      <w:r w:rsidR="009847B8">
        <w:rPr>
          <w:rFonts w:cstheme="minorHAnsi"/>
        </w:rPr>
        <w:t>not</w:t>
      </w:r>
      <w:r w:rsidR="003F7C41" w:rsidRPr="008017BB">
        <w:rPr>
          <w:rFonts w:cstheme="minorHAnsi"/>
        </w:rPr>
        <w:t xml:space="preserve"> impacting food security</w:t>
      </w:r>
      <w:r w:rsidR="009847B8">
        <w:rPr>
          <w:rFonts w:cstheme="minorHAnsi"/>
        </w:rPr>
        <w:t xml:space="preserve"> in the ways </w:t>
      </w:r>
      <w:r w:rsidR="008A22CC">
        <w:rPr>
          <w:rFonts w:cstheme="minorHAnsi"/>
        </w:rPr>
        <w:t xml:space="preserve">OSIEA </w:t>
      </w:r>
      <w:r w:rsidR="009847B8">
        <w:rPr>
          <w:rFonts w:cstheme="minorHAnsi"/>
        </w:rPr>
        <w:t>hoped</w:t>
      </w:r>
      <w:r w:rsidR="003F7C41" w:rsidRPr="008017BB">
        <w:rPr>
          <w:rFonts w:cstheme="minorHAnsi"/>
        </w:rPr>
        <w:t>. The OSIEA strategy on food security is hinged on the understanding that addressing structural bottlenecks around pastoralism in the con</w:t>
      </w:r>
      <w:r w:rsidR="004C2FD5">
        <w:rPr>
          <w:rFonts w:cstheme="minorHAnsi"/>
        </w:rPr>
        <w:t>text of climate change results in</w:t>
      </w:r>
      <w:r w:rsidR="003F7C41" w:rsidRPr="008017BB">
        <w:rPr>
          <w:rFonts w:cstheme="minorHAnsi"/>
        </w:rPr>
        <w:t xml:space="preserve"> food security for people and so far, learning indicates that t</w:t>
      </w:r>
      <w:r>
        <w:rPr>
          <w:rFonts w:cstheme="minorHAnsi"/>
        </w:rPr>
        <w:t xml:space="preserve">his is not necessarily the case. Further, </w:t>
      </w:r>
      <w:r w:rsidR="003F7C41" w:rsidRPr="008017BB">
        <w:rPr>
          <w:rFonts w:cstheme="minorHAnsi"/>
        </w:rPr>
        <w:t xml:space="preserve">in pastoralist areas </w:t>
      </w:r>
      <w:r w:rsidR="008A22CC">
        <w:rPr>
          <w:rFonts w:cstheme="minorHAnsi"/>
        </w:rPr>
        <w:t xml:space="preserve">OSIEA </w:t>
      </w:r>
      <w:r w:rsidR="003F7C41" w:rsidRPr="008017BB">
        <w:rPr>
          <w:rFonts w:cstheme="minorHAnsi"/>
        </w:rPr>
        <w:t xml:space="preserve">observed that highly livestock dependent households continue to have hunger and malnutrition. This is attributed to multiple uses of livestock that are not necessarily linked to food security. </w:t>
      </w:r>
    </w:p>
    <w:p w:rsidR="003F7C41" w:rsidRPr="008017BB" w:rsidRDefault="003F7C41" w:rsidP="00C210CA">
      <w:pPr>
        <w:spacing w:line="240" w:lineRule="auto"/>
        <w:jc w:val="both"/>
        <w:rPr>
          <w:rFonts w:cstheme="minorHAnsi"/>
          <w:b/>
        </w:rPr>
      </w:pPr>
    </w:p>
    <w:p w:rsidR="0081406D" w:rsidRPr="008017BB" w:rsidRDefault="0081406D" w:rsidP="00C210CA">
      <w:pPr>
        <w:spacing w:line="240" w:lineRule="auto"/>
        <w:rPr>
          <w:rStyle w:val="IntenseEmphasis"/>
          <w:rFonts w:cstheme="minorHAnsi"/>
        </w:rPr>
      </w:pPr>
      <w:r w:rsidRPr="008017BB">
        <w:rPr>
          <w:rStyle w:val="IntenseEmphasis"/>
          <w:rFonts w:cstheme="minorHAnsi"/>
        </w:rPr>
        <w:br w:type="page"/>
      </w:r>
    </w:p>
    <w:p w:rsidR="0044154B" w:rsidRDefault="007F515D" w:rsidP="0024440B">
      <w:pPr>
        <w:pStyle w:val="Heading1"/>
        <w:spacing w:after="200"/>
        <w:ind w:left="0"/>
        <w:jc w:val="both"/>
        <w:rPr>
          <w:rFonts w:asciiTheme="minorHAnsi" w:hAnsiTheme="minorHAnsi" w:cstheme="minorHAnsi"/>
          <w:i/>
          <w:color w:val="C00000"/>
          <w:u w:val="none"/>
        </w:rPr>
      </w:pPr>
      <w:r w:rsidRPr="0044154B">
        <w:rPr>
          <w:rFonts w:asciiTheme="minorHAnsi" w:hAnsiTheme="minorHAnsi" w:cstheme="minorHAnsi"/>
          <w:i/>
          <w:color w:val="C00000"/>
          <w:u w:val="none"/>
        </w:rPr>
        <w:lastRenderedPageBreak/>
        <w:t xml:space="preserve">DISABILITY RIGHTS </w:t>
      </w:r>
    </w:p>
    <w:p w:rsidR="007F515D" w:rsidRPr="0044154B" w:rsidRDefault="00D60D7F" w:rsidP="0024440B">
      <w:pPr>
        <w:pStyle w:val="Heading1"/>
        <w:spacing w:after="200"/>
        <w:ind w:left="0"/>
        <w:jc w:val="both"/>
        <w:rPr>
          <w:rFonts w:asciiTheme="minorHAnsi" w:hAnsiTheme="minorHAnsi" w:cstheme="minorHAnsi"/>
          <w:i/>
          <w:color w:val="C00000"/>
          <w:u w:val="none"/>
        </w:rPr>
      </w:pPr>
      <w:r>
        <w:rPr>
          <w:rStyle w:val="IntenseEmphasis"/>
          <w:rFonts w:cstheme="minorHAnsi"/>
          <w:u w:val="none"/>
        </w:rPr>
        <w:pict>
          <v:rect id="_x0000_i1032" style="width:0;height:1.5pt" o:hralign="center" o:hrstd="t" o:hr="t" fillcolor="#a0a0a0" stroked="f"/>
        </w:pict>
      </w:r>
    </w:p>
    <w:p w:rsidR="007F515D" w:rsidRPr="000367CC" w:rsidRDefault="000367CC" w:rsidP="0024440B">
      <w:pPr>
        <w:pStyle w:val="Heading3"/>
        <w:spacing w:before="0" w:after="200" w:line="240" w:lineRule="auto"/>
        <w:jc w:val="both"/>
        <w:rPr>
          <w:rFonts w:asciiTheme="minorHAnsi" w:hAnsiTheme="minorHAnsi" w:cstheme="minorHAnsi"/>
          <w:color w:val="auto"/>
        </w:rPr>
      </w:pPr>
      <w:r>
        <w:rPr>
          <w:rFonts w:asciiTheme="minorHAnsi" w:hAnsiTheme="minorHAnsi" w:cstheme="minorHAnsi"/>
          <w:color w:val="auto"/>
        </w:rPr>
        <w:t xml:space="preserve">OSIEA INITIATIVE: </w:t>
      </w:r>
      <w:r w:rsidR="007F515D" w:rsidRPr="000367CC">
        <w:rPr>
          <w:rFonts w:asciiTheme="minorHAnsi" w:hAnsiTheme="minorHAnsi" w:cstheme="minorHAnsi"/>
          <w:color w:val="auto"/>
        </w:rPr>
        <w:t>Goal 1: Creating awareness and acceptability of disability rights as part of the curriculum in high</w:t>
      </w:r>
      <w:r>
        <w:rPr>
          <w:rFonts w:asciiTheme="minorHAnsi" w:hAnsiTheme="minorHAnsi" w:cstheme="minorHAnsi"/>
          <w:color w:val="auto"/>
        </w:rPr>
        <w:t>er</w:t>
      </w:r>
      <w:r w:rsidR="007F515D" w:rsidRPr="000367CC">
        <w:rPr>
          <w:rFonts w:asciiTheme="minorHAnsi" w:hAnsiTheme="minorHAnsi" w:cstheme="minorHAnsi"/>
          <w:color w:val="auto"/>
        </w:rPr>
        <w:t xml:space="preserve"> institutions of learning. </w:t>
      </w:r>
    </w:p>
    <w:p w:rsidR="007F515D" w:rsidRPr="008017BB" w:rsidRDefault="00CB7CA9" w:rsidP="0024440B">
      <w:pPr>
        <w:spacing w:line="240" w:lineRule="auto"/>
        <w:jc w:val="both"/>
        <w:rPr>
          <w:rFonts w:cstheme="minorHAnsi"/>
        </w:rPr>
      </w:pPr>
      <w:r>
        <w:rPr>
          <w:rFonts w:cstheme="minorHAnsi"/>
        </w:rPr>
        <w:t xml:space="preserve">The purpose of this </w:t>
      </w:r>
      <w:r w:rsidR="00610400">
        <w:rPr>
          <w:rFonts w:cstheme="minorHAnsi"/>
        </w:rPr>
        <w:t>initiative</w:t>
      </w:r>
      <w:r>
        <w:rPr>
          <w:rFonts w:cstheme="minorHAnsi"/>
        </w:rPr>
        <w:t xml:space="preserve"> i</w:t>
      </w:r>
      <w:r w:rsidR="007F515D" w:rsidRPr="008017BB">
        <w:rPr>
          <w:rFonts w:cstheme="minorHAnsi"/>
        </w:rPr>
        <w:t xml:space="preserve">s to introduce the teaching of disability rights in higher institutions of learning especially in their schools/departments/faculties of law. In 2015, </w:t>
      </w:r>
      <w:r w:rsidR="00610400">
        <w:rPr>
          <w:rFonts w:cstheme="minorHAnsi"/>
        </w:rPr>
        <w:t>OSIEA</w:t>
      </w:r>
      <w:r w:rsidR="007F515D" w:rsidRPr="008017BB">
        <w:rPr>
          <w:rFonts w:cstheme="minorHAnsi"/>
        </w:rPr>
        <w:t xml:space="preserve"> worked with the University of Nairobi</w:t>
      </w:r>
      <w:r>
        <w:rPr>
          <w:rFonts w:cstheme="minorHAnsi"/>
        </w:rPr>
        <w:t xml:space="preserve"> in Kenya</w:t>
      </w:r>
      <w:r w:rsidR="007F515D" w:rsidRPr="008017BB">
        <w:rPr>
          <w:rFonts w:cstheme="minorHAnsi"/>
        </w:rPr>
        <w:t>, Makerere University in Uganda, University of Khartoum in Sudan and University of Dodoma in Tanzania. In 2015,</w:t>
      </w:r>
      <w:r>
        <w:rPr>
          <w:rFonts w:cstheme="minorHAnsi"/>
        </w:rPr>
        <w:t xml:space="preserve"> Makerere University School of L</w:t>
      </w:r>
      <w:r w:rsidR="007F515D" w:rsidRPr="008017BB">
        <w:rPr>
          <w:rFonts w:cstheme="minorHAnsi"/>
        </w:rPr>
        <w:t>aw carried out research to establish how best the school could incorp</w:t>
      </w:r>
      <w:r w:rsidR="00E27339">
        <w:rPr>
          <w:rFonts w:cstheme="minorHAnsi"/>
        </w:rPr>
        <w:t>orate disability rights in its law c</w:t>
      </w:r>
      <w:r w:rsidR="007F515D" w:rsidRPr="008017BB">
        <w:rPr>
          <w:rFonts w:cstheme="minorHAnsi"/>
        </w:rPr>
        <w:t>urriculum. Lecturers from the school with most interest and knowledge in disability rights including the school p</w:t>
      </w:r>
      <w:r>
        <w:rPr>
          <w:rFonts w:cstheme="minorHAnsi"/>
        </w:rPr>
        <w:t>rincipal led this research includ</w:t>
      </w:r>
      <w:r w:rsidR="007F515D" w:rsidRPr="008017BB">
        <w:rPr>
          <w:rFonts w:cstheme="minorHAnsi"/>
        </w:rPr>
        <w:t xml:space="preserve">ing visiting other </w:t>
      </w:r>
      <w:r>
        <w:rPr>
          <w:rFonts w:cstheme="minorHAnsi"/>
        </w:rPr>
        <w:t>u</w:t>
      </w:r>
      <w:r w:rsidR="007F515D" w:rsidRPr="008017BB">
        <w:rPr>
          <w:rFonts w:cstheme="minorHAnsi"/>
        </w:rPr>
        <w:t xml:space="preserve">niversities that are already teaching disability rights and a desk review of curricula of </w:t>
      </w:r>
      <w:r w:rsidR="00567E93">
        <w:rPr>
          <w:rFonts w:cstheme="minorHAnsi"/>
        </w:rPr>
        <w:t>other u</w:t>
      </w:r>
      <w:r w:rsidR="007F515D" w:rsidRPr="008017BB">
        <w:rPr>
          <w:rFonts w:cstheme="minorHAnsi"/>
        </w:rPr>
        <w:t>niversit</w:t>
      </w:r>
      <w:r w:rsidR="00567E93">
        <w:rPr>
          <w:rFonts w:cstheme="minorHAnsi"/>
        </w:rPr>
        <w:t>ies</w:t>
      </w:r>
      <w:r w:rsidR="007F515D" w:rsidRPr="008017BB">
        <w:rPr>
          <w:rFonts w:cstheme="minorHAnsi"/>
        </w:rPr>
        <w:t xml:space="preserve">. At the end of the year, the school came up with a report where it proposed two approaches. The first approach was to incorporate elements of disability rights in courses that </w:t>
      </w:r>
      <w:r w:rsidR="00E27339">
        <w:rPr>
          <w:rFonts w:cstheme="minorHAnsi"/>
        </w:rPr>
        <w:t xml:space="preserve">were </w:t>
      </w:r>
      <w:r w:rsidR="007F515D" w:rsidRPr="008017BB">
        <w:rPr>
          <w:rFonts w:cstheme="minorHAnsi"/>
        </w:rPr>
        <w:t>already</w:t>
      </w:r>
      <w:r w:rsidR="00E27339">
        <w:rPr>
          <w:rFonts w:cstheme="minorHAnsi"/>
        </w:rPr>
        <w:t xml:space="preserve"> </w:t>
      </w:r>
      <w:r w:rsidR="007F515D" w:rsidRPr="008017BB">
        <w:rPr>
          <w:rFonts w:cstheme="minorHAnsi"/>
        </w:rPr>
        <w:t>being taught at the school such as criminal proced</w:t>
      </w:r>
      <w:r w:rsidR="00567E93">
        <w:rPr>
          <w:rFonts w:cstheme="minorHAnsi"/>
        </w:rPr>
        <w:t>ure, human rights law, and labo</w:t>
      </w:r>
      <w:r w:rsidR="007F515D" w:rsidRPr="008017BB">
        <w:rPr>
          <w:rFonts w:cstheme="minorHAnsi"/>
        </w:rPr>
        <w:t>r law amo</w:t>
      </w:r>
      <w:r w:rsidR="00567E93">
        <w:rPr>
          <w:rFonts w:cstheme="minorHAnsi"/>
        </w:rPr>
        <w:t>ng others. The second approach wa</w:t>
      </w:r>
      <w:r w:rsidR="007F515D" w:rsidRPr="008017BB">
        <w:rPr>
          <w:rFonts w:cstheme="minorHAnsi"/>
        </w:rPr>
        <w:t>s for the establishment of an independent module on disability rights for which a draft curriculum has been developed. The curriculum will be reviewed and hopefully approved in a forthcoming curri</w:t>
      </w:r>
      <w:r w:rsidR="00567E93">
        <w:rPr>
          <w:rFonts w:cstheme="minorHAnsi"/>
        </w:rPr>
        <w:t>culum review discussion at the S</w:t>
      </w:r>
      <w:r w:rsidR="007F515D" w:rsidRPr="008017BB">
        <w:rPr>
          <w:rFonts w:cstheme="minorHAnsi"/>
        </w:rPr>
        <w:t xml:space="preserve">chool of Law. </w:t>
      </w:r>
    </w:p>
    <w:p w:rsidR="007F515D" w:rsidRPr="008017BB" w:rsidRDefault="007F515D" w:rsidP="0024440B">
      <w:pPr>
        <w:spacing w:line="240" w:lineRule="auto"/>
        <w:jc w:val="both"/>
        <w:rPr>
          <w:rFonts w:cstheme="minorHAnsi"/>
        </w:rPr>
      </w:pPr>
      <w:r w:rsidRPr="008017BB">
        <w:rPr>
          <w:rFonts w:cstheme="minorHAnsi"/>
        </w:rPr>
        <w:t>In the same spirit, the University of Nairobi also developed a curriculum and it has been reviewed and approved by the school. It</w:t>
      </w:r>
      <w:r w:rsidR="007F5F33">
        <w:rPr>
          <w:rFonts w:cstheme="minorHAnsi"/>
        </w:rPr>
        <w:t xml:space="preserve"> now awaits approval from the un</w:t>
      </w:r>
      <w:r w:rsidRPr="008017BB">
        <w:rPr>
          <w:rFonts w:cstheme="minorHAnsi"/>
        </w:rPr>
        <w:t xml:space="preserve">iversity senate. The University of Dodoma has continued with the teaching of disability rights. In 2015, the University of Dodoma began its outreach program </w:t>
      </w:r>
      <w:r w:rsidR="00E27339">
        <w:rPr>
          <w:rFonts w:cstheme="minorHAnsi"/>
        </w:rPr>
        <w:t>where students with</w:t>
      </w:r>
      <w:r w:rsidR="007F5F33">
        <w:rPr>
          <w:rFonts w:cstheme="minorHAnsi"/>
        </w:rPr>
        <w:t xml:space="preserve"> the</w:t>
      </w:r>
      <w:r w:rsidR="00E27339">
        <w:rPr>
          <w:rFonts w:cstheme="minorHAnsi"/>
        </w:rPr>
        <w:t xml:space="preserve"> support of l</w:t>
      </w:r>
      <w:r w:rsidRPr="008017BB">
        <w:rPr>
          <w:rFonts w:cstheme="minorHAnsi"/>
        </w:rPr>
        <w:t>awyers go out into the community and provide legal advice to persons with disabilities. The University of Khartoum held arguably the first disability rights conference in</w:t>
      </w:r>
      <w:r w:rsidR="00E27339">
        <w:rPr>
          <w:rFonts w:cstheme="minorHAnsi"/>
        </w:rPr>
        <w:t xml:space="preserve"> the country in December</w:t>
      </w:r>
      <w:r w:rsidRPr="008017BB">
        <w:rPr>
          <w:rFonts w:cstheme="minorHAnsi"/>
        </w:rPr>
        <w:t>. The conference brought together disability rights acti</w:t>
      </w:r>
      <w:r w:rsidR="00E27339">
        <w:rPr>
          <w:rFonts w:cstheme="minorHAnsi"/>
        </w:rPr>
        <w:t>vists, disabled people’s organizations, human rights organiz</w:t>
      </w:r>
      <w:r w:rsidRPr="008017BB">
        <w:rPr>
          <w:rFonts w:cstheme="minorHAnsi"/>
        </w:rPr>
        <w:t>ation</w:t>
      </w:r>
      <w:r w:rsidR="00E27339">
        <w:rPr>
          <w:rFonts w:cstheme="minorHAnsi"/>
        </w:rPr>
        <w:t>s</w:t>
      </w:r>
      <w:r w:rsidR="007F5F33">
        <w:rPr>
          <w:rFonts w:cstheme="minorHAnsi"/>
        </w:rPr>
        <w:t xml:space="preserve"> and academics</w:t>
      </w:r>
      <w:r w:rsidRPr="008017BB">
        <w:rPr>
          <w:rFonts w:cstheme="minorHAnsi"/>
        </w:rPr>
        <w:t xml:space="preserve"> to discuss key issues affecting persons with disabilities in Sudan. The conference served to introduce the planned project of introducing disability rights at the University of Khartoum but most importantly to ensure that once t</w:t>
      </w:r>
      <w:r w:rsidR="007F5F33">
        <w:rPr>
          <w:rFonts w:cstheme="minorHAnsi"/>
        </w:rPr>
        <w:t>he teaching begins, the academics</w:t>
      </w:r>
      <w:r w:rsidRPr="008017BB">
        <w:rPr>
          <w:rFonts w:cstheme="minorHAnsi"/>
        </w:rPr>
        <w:t xml:space="preserve"> do not act in a vacuum but work together with the disability movement. </w:t>
      </w:r>
    </w:p>
    <w:p w:rsidR="007F515D" w:rsidRPr="008017BB" w:rsidRDefault="007F515D" w:rsidP="0024440B">
      <w:pPr>
        <w:spacing w:line="240" w:lineRule="auto"/>
        <w:jc w:val="both"/>
        <w:rPr>
          <w:rFonts w:eastAsia="Times New Roman" w:cstheme="minorHAnsi"/>
          <w:color w:val="000000"/>
        </w:rPr>
      </w:pPr>
      <w:r w:rsidRPr="008017BB">
        <w:rPr>
          <w:rFonts w:cstheme="minorHAnsi"/>
        </w:rPr>
        <w:t xml:space="preserve">As a kind of setback, in the same year, </w:t>
      </w:r>
      <w:r w:rsidRPr="008017BB">
        <w:rPr>
          <w:rFonts w:eastAsia="Times New Roman" w:cstheme="minorHAnsi"/>
          <w:color w:val="000000"/>
        </w:rPr>
        <w:t xml:space="preserve">Dr. Abdallah Possi one of the lecturers leading the disability rights work at the University of Dodoma and who </w:t>
      </w:r>
      <w:r w:rsidR="00610400">
        <w:rPr>
          <w:rFonts w:eastAsia="Times New Roman" w:cstheme="minorHAnsi"/>
          <w:color w:val="000000"/>
        </w:rPr>
        <w:t>OSIEA</w:t>
      </w:r>
      <w:r w:rsidRPr="008017BB">
        <w:rPr>
          <w:rFonts w:eastAsia="Times New Roman" w:cstheme="minorHAnsi"/>
          <w:color w:val="000000"/>
        </w:rPr>
        <w:t xml:space="preserve"> had invested in to develop his capacity, was appointed by  President Magufuli to serve as a Deputy Minister in the Ministry of Labor and Persons with Disabilities. Whereas this is positive to the disability movement in the sense that </w:t>
      </w:r>
      <w:r w:rsidR="00610400">
        <w:rPr>
          <w:rFonts w:eastAsia="Times New Roman" w:cstheme="minorHAnsi"/>
          <w:color w:val="000000"/>
        </w:rPr>
        <w:t xml:space="preserve">there is </w:t>
      </w:r>
      <w:r w:rsidRPr="008017BB">
        <w:rPr>
          <w:rFonts w:eastAsia="Times New Roman" w:cstheme="minorHAnsi"/>
          <w:color w:val="000000"/>
        </w:rPr>
        <w:t>somebody in the ministry with expertise</w:t>
      </w:r>
      <w:r w:rsidR="007F5F33">
        <w:rPr>
          <w:rFonts w:eastAsia="Times New Roman" w:cstheme="minorHAnsi"/>
          <w:color w:val="000000"/>
        </w:rPr>
        <w:t xml:space="preserve"> on disability rights, for the u</w:t>
      </w:r>
      <w:r w:rsidRPr="008017BB">
        <w:rPr>
          <w:rFonts w:eastAsia="Times New Roman" w:cstheme="minorHAnsi"/>
          <w:color w:val="000000"/>
        </w:rPr>
        <w:t xml:space="preserve">niversity and work on this </w:t>
      </w:r>
      <w:r w:rsidR="00610400">
        <w:rPr>
          <w:rFonts w:eastAsia="Times New Roman" w:cstheme="minorHAnsi"/>
          <w:color w:val="000000"/>
        </w:rPr>
        <w:t>initiative</w:t>
      </w:r>
      <w:r w:rsidRPr="008017BB">
        <w:rPr>
          <w:rFonts w:eastAsia="Times New Roman" w:cstheme="minorHAnsi"/>
          <w:color w:val="000000"/>
        </w:rPr>
        <w:t xml:space="preserve">, </w:t>
      </w:r>
      <w:r w:rsidR="00610400">
        <w:rPr>
          <w:rFonts w:eastAsia="Times New Roman" w:cstheme="minorHAnsi"/>
          <w:color w:val="000000"/>
        </w:rPr>
        <w:t>OSIEA</w:t>
      </w:r>
      <w:r w:rsidRPr="008017BB">
        <w:rPr>
          <w:rFonts w:eastAsia="Times New Roman" w:cstheme="minorHAnsi"/>
          <w:color w:val="000000"/>
        </w:rPr>
        <w:t xml:space="preserve"> need</w:t>
      </w:r>
      <w:r w:rsidR="00610400">
        <w:rPr>
          <w:rFonts w:eastAsia="Times New Roman" w:cstheme="minorHAnsi"/>
          <w:color w:val="000000"/>
        </w:rPr>
        <w:t>s</w:t>
      </w:r>
      <w:r w:rsidRPr="008017BB">
        <w:rPr>
          <w:rFonts w:eastAsia="Times New Roman" w:cstheme="minorHAnsi"/>
          <w:color w:val="000000"/>
        </w:rPr>
        <w:t xml:space="preserve"> to re-invest in somebody else to make sure that the work keeps moving smoothly. </w:t>
      </w:r>
    </w:p>
    <w:p w:rsidR="007F515D" w:rsidRPr="000367CC" w:rsidRDefault="007F515D" w:rsidP="0024440B">
      <w:pPr>
        <w:pStyle w:val="Heading3"/>
        <w:spacing w:before="0" w:after="200" w:line="240" w:lineRule="auto"/>
        <w:jc w:val="both"/>
        <w:rPr>
          <w:rFonts w:asciiTheme="minorHAnsi" w:hAnsiTheme="minorHAnsi" w:cstheme="minorHAnsi"/>
          <w:color w:val="auto"/>
        </w:rPr>
      </w:pPr>
      <w:r w:rsidRPr="000367CC">
        <w:rPr>
          <w:rFonts w:asciiTheme="minorHAnsi" w:hAnsiTheme="minorHAnsi" w:cstheme="minorHAnsi"/>
          <w:color w:val="auto"/>
        </w:rPr>
        <w:t xml:space="preserve">Goal 2: A criminal justice system that is sensitive and responsive to rights of persons with disabilities. </w:t>
      </w:r>
    </w:p>
    <w:p w:rsidR="007F515D" w:rsidRPr="008017BB" w:rsidRDefault="007F515D" w:rsidP="0024440B">
      <w:pPr>
        <w:spacing w:line="240" w:lineRule="auto"/>
        <w:jc w:val="both"/>
        <w:rPr>
          <w:rFonts w:cstheme="minorHAnsi"/>
        </w:rPr>
      </w:pPr>
      <w:r w:rsidRPr="008017BB">
        <w:rPr>
          <w:rFonts w:cstheme="minorHAnsi"/>
        </w:rPr>
        <w:t xml:space="preserve">In 2015, </w:t>
      </w:r>
      <w:r w:rsidR="005A67B7">
        <w:rPr>
          <w:rFonts w:cstheme="minorHAnsi"/>
        </w:rPr>
        <w:t>Women Challenged to Challenge (</w:t>
      </w:r>
      <w:r w:rsidRPr="008017BB">
        <w:rPr>
          <w:rFonts w:cstheme="minorHAnsi"/>
        </w:rPr>
        <w:t>WCC</w:t>
      </w:r>
      <w:r w:rsidR="005A67B7">
        <w:rPr>
          <w:rFonts w:cstheme="minorHAnsi"/>
        </w:rPr>
        <w:t>)</w:t>
      </w:r>
      <w:r w:rsidRPr="008017BB">
        <w:rPr>
          <w:rFonts w:cstheme="minorHAnsi"/>
        </w:rPr>
        <w:t xml:space="preserve"> and the coalition between </w:t>
      </w:r>
      <w:r w:rsidR="005A67B7">
        <w:rPr>
          <w:rFonts w:cstheme="minorHAnsi"/>
        </w:rPr>
        <w:t>the Kenya Association of the Intellectually Handicapped (</w:t>
      </w:r>
      <w:r w:rsidRPr="008017BB">
        <w:rPr>
          <w:rFonts w:cstheme="minorHAnsi"/>
        </w:rPr>
        <w:t>KAIH</w:t>
      </w:r>
      <w:r w:rsidR="005A67B7">
        <w:rPr>
          <w:rFonts w:cstheme="minorHAnsi"/>
        </w:rPr>
        <w:t>)</w:t>
      </w:r>
      <w:r w:rsidRPr="008017BB">
        <w:rPr>
          <w:rFonts w:cstheme="minorHAnsi"/>
        </w:rPr>
        <w:t xml:space="preserve"> and </w:t>
      </w:r>
      <w:r w:rsidR="005A67B7">
        <w:rPr>
          <w:rFonts w:cstheme="minorHAnsi"/>
        </w:rPr>
        <w:t>the Coalition on Violence Against Women (</w:t>
      </w:r>
      <w:r w:rsidRPr="008017BB">
        <w:rPr>
          <w:rFonts w:cstheme="minorHAnsi"/>
        </w:rPr>
        <w:t>COVAW</w:t>
      </w:r>
      <w:r w:rsidR="005A67B7">
        <w:rPr>
          <w:rFonts w:cstheme="minorHAnsi"/>
        </w:rPr>
        <w:t>)</w:t>
      </w:r>
      <w:r w:rsidRPr="008017BB">
        <w:rPr>
          <w:rFonts w:cstheme="minorHAnsi"/>
        </w:rPr>
        <w:t xml:space="preserve"> started supporting the prosecution of individual cases where persons with intellectual disabilities had suffered violence. The groups facilitated</w:t>
      </w:r>
      <w:r w:rsidR="00E27339">
        <w:rPr>
          <w:rFonts w:cstheme="minorHAnsi"/>
        </w:rPr>
        <w:t xml:space="preserve"> the provision of accommodation</w:t>
      </w:r>
      <w:r w:rsidR="005A67B7">
        <w:rPr>
          <w:rFonts w:cstheme="minorHAnsi"/>
        </w:rPr>
        <w:t xml:space="preserve"> in c</w:t>
      </w:r>
      <w:r w:rsidRPr="008017BB">
        <w:rPr>
          <w:rFonts w:cstheme="minorHAnsi"/>
        </w:rPr>
        <w:t>ourt b</w:t>
      </w:r>
      <w:r w:rsidR="00E27339">
        <w:rPr>
          <w:rFonts w:cstheme="minorHAnsi"/>
        </w:rPr>
        <w:t>y</w:t>
      </w:r>
      <w:r w:rsidR="005A67B7">
        <w:rPr>
          <w:rFonts w:cstheme="minorHAnsi"/>
        </w:rPr>
        <w:t>,</w:t>
      </w:r>
      <w:r w:rsidR="00E27339">
        <w:rPr>
          <w:rFonts w:cstheme="minorHAnsi"/>
        </w:rPr>
        <w:t xml:space="preserve"> for example</w:t>
      </w:r>
      <w:r w:rsidR="005A67B7">
        <w:rPr>
          <w:rFonts w:cstheme="minorHAnsi"/>
        </w:rPr>
        <w:t>,</w:t>
      </w:r>
      <w:r w:rsidR="00E27339">
        <w:rPr>
          <w:rFonts w:cstheme="minorHAnsi"/>
        </w:rPr>
        <w:t xml:space="preserve"> training prosecuto</w:t>
      </w:r>
      <w:r w:rsidRPr="008017BB">
        <w:rPr>
          <w:rFonts w:cstheme="minorHAnsi"/>
        </w:rPr>
        <w:t xml:space="preserve">rs on how to examine witnesses with intellectual disabilities, </w:t>
      </w:r>
      <w:r w:rsidR="005A67B7">
        <w:rPr>
          <w:rFonts w:cstheme="minorHAnsi"/>
        </w:rPr>
        <w:t xml:space="preserve">and </w:t>
      </w:r>
      <w:r w:rsidRPr="008017BB">
        <w:rPr>
          <w:rFonts w:cstheme="minorHAnsi"/>
        </w:rPr>
        <w:t>holding discussions with magistra</w:t>
      </w:r>
      <w:r w:rsidR="0084693D">
        <w:rPr>
          <w:rFonts w:cstheme="minorHAnsi"/>
        </w:rPr>
        <w:t>tes handling individual cases to inform</w:t>
      </w:r>
      <w:r w:rsidRPr="008017BB">
        <w:rPr>
          <w:rFonts w:cstheme="minorHAnsi"/>
        </w:rPr>
        <w:t xml:space="preserve"> them </w:t>
      </w:r>
      <w:r w:rsidR="0084693D">
        <w:rPr>
          <w:rFonts w:cstheme="minorHAnsi"/>
        </w:rPr>
        <w:t>about</w:t>
      </w:r>
      <w:r w:rsidRPr="008017BB">
        <w:rPr>
          <w:rFonts w:cstheme="minorHAnsi"/>
        </w:rPr>
        <w:t xml:space="preserve"> the individual accommodation and support needs for victims. As a result, five cases which would have</w:t>
      </w:r>
      <w:r w:rsidR="004E63BA">
        <w:rPr>
          <w:rFonts w:cstheme="minorHAnsi"/>
        </w:rPr>
        <w:t xml:space="preserve"> ordinarily been thrown out of c</w:t>
      </w:r>
      <w:r w:rsidRPr="008017BB">
        <w:rPr>
          <w:rFonts w:cstheme="minorHAnsi"/>
        </w:rPr>
        <w:t>ourt on account of “unsoundness of mind” of the witness</w:t>
      </w:r>
      <w:r w:rsidR="004E63BA">
        <w:rPr>
          <w:rFonts w:cstheme="minorHAnsi"/>
        </w:rPr>
        <w:t>es</w:t>
      </w:r>
      <w:r w:rsidRPr="008017BB">
        <w:rPr>
          <w:rFonts w:cstheme="minorHAnsi"/>
        </w:rPr>
        <w:t xml:space="preserve"> are going on in different </w:t>
      </w:r>
      <w:r w:rsidR="004E63BA">
        <w:rPr>
          <w:rFonts w:cstheme="minorHAnsi"/>
        </w:rPr>
        <w:t>c</w:t>
      </w:r>
      <w:r w:rsidRPr="008017BB">
        <w:rPr>
          <w:rFonts w:cstheme="minorHAnsi"/>
        </w:rPr>
        <w:t xml:space="preserve">ourts in Kenya and the prosecutors are confident that they will secure convictions. </w:t>
      </w:r>
    </w:p>
    <w:p w:rsidR="00E27339" w:rsidRDefault="007F515D" w:rsidP="0024440B">
      <w:pPr>
        <w:spacing w:line="240" w:lineRule="auto"/>
        <w:jc w:val="both"/>
        <w:rPr>
          <w:rFonts w:cstheme="minorHAnsi"/>
        </w:rPr>
      </w:pPr>
      <w:r w:rsidRPr="008017BB">
        <w:rPr>
          <w:rFonts w:cstheme="minorHAnsi"/>
        </w:rPr>
        <w:lastRenderedPageBreak/>
        <w:t xml:space="preserve">As </w:t>
      </w:r>
      <w:r w:rsidR="00610400">
        <w:rPr>
          <w:rFonts w:cstheme="minorHAnsi"/>
        </w:rPr>
        <w:t>OSIEA</w:t>
      </w:r>
      <w:r w:rsidRPr="008017BB">
        <w:rPr>
          <w:rFonts w:cstheme="minorHAnsi"/>
        </w:rPr>
        <w:t xml:space="preserve"> continued funding this work, </w:t>
      </w:r>
      <w:r w:rsidR="00610400">
        <w:rPr>
          <w:rFonts w:cstheme="minorHAnsi"/>
        </w:rPr>
        <w:t>it was</w:t>
      </w:r>
      <w:r w:rsidRPr="008017BB">
        <w:rPr>
          <w:rFonts w:cstheme="minorHAnsi"/>
        </w:rPr>
        <w:t xml:space="preserve"> realized that </w:t>
      </w:r>
      <w:r w:rsidR="00610400" w:rsidRPr="008017BB">
        <w:rPr>
          <w:rFonts w:cstheme="minorHAnsi"/>
        </w:rPr>
        <w:t>support</w:t>
      </w:r>
      <w:r w:rsidRPr="008017BB">
        <w:rPr>
          <w:rFonts w:cstheme="minorHAnsi"/>
        </w:rPr>
        <w:t>e</w:t>
      </w:r>
      <w:r w:rsidR="00610400">
        <w:rPr>
          <w:rFonts w:cstheme="minorHAnsi"/>
        </w:rPr>
        <w:t>d</w:t>
      </w:r>
      <w:r w:rsidRPr="008017BB">
        <w:rPr>
          <w:rFonts w:cstheme="minorHAnsi"/>
        </w:rPr>
        <w:t xml:space="preserve"> groups need a lot of technical support to be able to execute their activities. As a result, </w:t>
      </w:r>
      <w:r w:rsidR="00610400">
        <w:rPr>
          <w:rFonts w:cstheme="minorHAnsi"/>
        </w:rPr>
        <w:t>OSIEA</w:t>
      </w:r>
      <w:r w:rsidRPr="008017BB">
        <w:rPr>
          <w:rFonts w:cstheme="minorHAnsi"/>
        </w:rPr>
        <w:t xml:space="preserve"> connected the groups in Kenya with </w:t>
      </w:r>
      <w:r w:rsidRPr="00E27339">
        <w:rPr>
          <w:rFonts w:cstheme="minorHAnsi"/>
          <w:bCs/>
        </w:rPr>
        <w:t>Bizchut</w:t>
      </w:r>
      <w:r w:rsidR="009C57CD">
        <w:rPr>
          <w:rFonts w:cstheme="minorHAnsi"/>
          <w:bCs/>
        </w:rPr>
        <w:t>,</w:t>
      </w:r>
      <w:r w:rsidRPr="008017BB">
        <w:rPr>
          <w:rFonts w:cstheme="minorHAnsi"/>
          <w:b/>
          <w:bCs/>
        </w:rPr>
        <w:t xml:space="preserve"> </w:t>
      </w:r>
      <w:r w:rsidRPr="008017BB">
        <w:rPr>
          <w:rFonts w:cstheme="minorHAnsi"/>
        </w:rPr>
        <w:t>the Israel Human Rights Center for Persons with Disa</w:t>
      </w:r>
      <w:r w:rsidR="009C57CD">
        <w:rPr>
          <w:rFonts w:cstheme="minorHAnsi"/>
        </w:rPr>
        <w:t>bilities</w:t>
      </w:r>
      <w:r w:rsidR="00E53EFF">
        <w:rPr>
          <w:rFonts w:cstheme="minorHAnsi"/>
        </w:rPr>
        <w:t>,</w:t>
      </w:r>
      <w:r w:rsidR="009C57CD">
        <w:rPr>
          <w:rFonts w:cstheme="minorHAnsi"/>
        </w:rPr>
        <w:t xml:space="preserve"> and hired a consultant, </w:t>
      </w:r>
      <w:r w:rsidRPr="008017BB">
        <w:rPr>
          <w:rFonts w:cstheme="minorHAnsi"/>
        </w:rPr>
        <w:t>Diana Msipa</w:t>
      </w:r>
      <w:r w:rsidR="009C57CD">
        <w:rPr>
          <w:rFonts w:cstheme="minorHAnsi"/>
        </w:rPr>
        <w:t xml:space="preserve"> – an </w:t>
      </w:r>
      <w:r w:rsidRPr="008017BB">
        <w:rPr>
          <w:rFonts w:cstheme="minorHAnsi"/>
        </w:rPr>
        <w:t xml:space="preserve">OSF LLM disability rights scholarship graduate with expertise in access to justice for persons with intellectual disabilities. </w:t>
      </w:r>
      <w:r w:rsidR="00610400">
        <w:rPr>
          <w:rFonts w:cstheme="minorHAnsi"/>
        </w:rPr>
        <w:t>A</w:t>
      </w:r>
      <w:r w:rsidRPr="008017BB">
        <w:rPr>
          <w:rFonts w:cstheme="minorHAnsi"/>
        </w:rPr>
        <w:t xml:space="preserve"> convening </w:t>
      </w:r>
      <w:r w:rsidR="00610400">
        <w:rPr>
          <w:rFonts w:cstheme="minorHAnsi"/>
        </w:rPr>
        <w:t xml:space="preserve">was held </w:t>
      </w:r>
      <w:r w:rsidRPr="008017BB">
        <w:rPr>
          <w:rFonts w:cstheme="minorHAnsi"/>
        </w:rPr>
        <w:t>in Nairobi that brought together prosecut</w:t>
      </w:r>
      <w:r w:rsidR="00E53EFF">
        <w:rPr>
          <w:rFonts w:cstheme="minorHAnsi"/>
        </w:rPr>
        <w:t>or</w:t>
      </w:r>
      <w:r w:rsidR="000C3169">
        <w:rPr>
          <w:rFonts w:cstheme="minorHAnsi"/>
        </w:rPr>
        <w:t>s handling cases where victims a</w:t>
      </w:r>
      <w:r w:rsidRPr="008017BB">
        <w:rPr>
          <w:rFonts w:cstheme="minorHAnsi"/>
        </w:rPr>
        <w:t xml:space="preserve">re persons with intellectual disabilities, the groups </w:t>
      </w:r>
      <w:r w:rsidR="00610400">
        <w:rPr>
          <w:rFonts w:cstheme="minorHAnsi"/>
        </w:rPr>
        <w:t>OSIEA</w:t>
      </w:r>
      <w:r w:rsidRPr="008017BB">
        <w:rPr>
          <w:rFonts w:cstheme="minorHAnsi"/>
        </w:rPr>
        <w:t xml:space="preserve"> support</w:t>
      </w:r>
      <w:r w:rsidR="00610400">
        <w:rPr>
          <w:rFonts w:cstheme="minorHAnsi"/>
        </w:rPr>
        <w:t>s</w:t>
      </w:r>
      <w:r w:rsidRPr="008017BB">
        <w:rPr>
          <w:rFonts w:cstheme="minorHAnsi"/>
        </w:rPr>
        <w:t xml:space="preserve"> </w:t>
      </w:r>
      <w:r w:rsidR="00E27339">
        <w:rPr>
          <w:rFonts w:cstheme="minorHAnsi"/>
        </w:rPr>
        <w:t xml:space="preserve">to work on </w:t>
      </w:r>
      <w:r w:rsidR="000A5F1D">
        <w:rPr>
          <w:rFonts w:cstheme="minorHAnsi"/>
        </w:rPr>
        <w:t>these</w:t>
      </w:r>
      <w:r w:rsidR="00E27339">
        <w:rPr>
          <w:rFonts w:cstheme="minorHAnsi"/>
        </w:rPr>
        <w:t xml:space="preserve"> issue</w:t>
      </w:r>
      <w:r w:rsidR="00E53EFF">
        <w:rPr>
          <w:rFonts w:cstheme="minorHAnsi"/>
        </w:rPr>
        <w:t>s</w:t>
      </w:r>
      <w:r w:rsidR="00E27339">
        <w:rPr>
          <w:rFonts w:cstheme="minorHAnsi"/>
        </w:rPr>
        <w:t xml:space="preserve"> and other l</w:t>
      </w:r>
      <w:r w:rsidRPr="008017BB">
        <w:rPr>
          <w:rFonts w:cstheme="minorHAnsi"/>
        </w:rPr>
        <w:t xml:space="preserve">awyers </w:t>
      </w:r>
      <w:r w:rsidR="000A5F1D">
        <w:rPr>
          <w:rFonts w:cstheme="minorHAnsi"/>
        </w:rPr>
        <w:t xml:space="preserve">who </w:t>
      </w:r>
      <w:r w:rsidRPr="008017BB">
        <w:rPr>
          <w:rFonts w:cstheme="minorHAnsi"/>
        </w:rPr>
        <w:t xml:space="preserve">have been watching these matters. </w:t>
      </w:r>
    </w:p>
    <w:p w:rsidR="00E27339" w:rsidRDefault="007F515D" w:rsidP="0024440B">
      <w:pPr>
        <w:spacing w:line="240" w:lineRule="auto"/>
        <w:jc w:val="both"/>
        <w:rPr>
          <w:rFonts w:cstheme="minorHAnsi"/>
        </w:rPr>
      </w:pPr>
      <w:r w:rsidRPr="008017BB">
        <w:rPr>
          <w:rFonts w:cstheme="minorHAnsi"/>
        </w:rPr>
        <w:t>With th</w:t>
      </w:r>
      <w:r w:rsidR="00E27339">
        <w:rPr>
          <w:rFonts w:cstheme="minorHAnsi"/>
        </w:rPr>
        <w:t>e help of Bizchut, the prosecuto</w:t>
      </w:r>
      <w:r w:rsidRPr="008017BB">
        <w:rPr>
          <w:rFonts w:cstheme="minorHAnsi"/>
        </w:rPr>
        <w:t xml:space="preserve">rs were trained on the kind of support that can be provided to facilitate individual witnesses with intellectual disabilities in the cases they are </w:t>
      </w:r>
      <w:r w:rsidR="000C3169">
        <w:rPr>
          <w:rFonts w:cstheme="minorHAnsi"/>
        </w:rPr>
        <w:t xml:space="preserve">handling. The consultant </w:t>
      </w:r>
      <w:r w:rsidRPr="008017BB">
        <w:rPr>
          <w:rFonts w:cstheme="minorHAnsi"/>
        </w:rPr>
        <w:t xml:space="preserve">also produced a police training manual that the groups will use to train police on how to investigate and handle cases where a witness or complainant is a person with disability. </w:t>
      </w:r>
    </w:p>
    <w:p w:rsidR="00E27339" w:rsidRDefault="007F515D" w:rsidP="0024440B">
      <w:pPr>
        <w:spacing w:line="240" w:lineRule="auto"/>
        <w:jc w:val="both"/>
        <w:rPr>
          <w:rFonts w:cstheme="minorHAnsi"/>
        </w:rPr>
      </w:pPr>
      <w:r w:rsidRPr="008017BB">
        <w:rPr>
          <w:rFonts w:cstheme="minorHAnsi"/>
        </w:rPr>
        <w:t xml:space="preserve">The groups in Kenya started learning how to use tools such as pictorial cards and </w:t>
      </w:r>
      <w:r w:rsidR="000C3169">
        <w:rPr>
          <w:rFonts w:cstheme="minorHAnsi"/>
        </w:rPr>
        <w:t>anatomical dolls to testify in c</w:t>
      </w:r>
      <w:r w:rsidRPr="008017BB">
        <w:rPr>
          <w:rFonts w:cstheme="minorHAnsi"/>
        </w:rPr>
        <w:t xml:space="preserve">ourt for persons with limited speech. At the grassroots level, WCC held trainings for local chiefs who are the custodians of the traditional justice system </w:t>
      </w:r>
      <w:r w:rsidR="00EE3BF4">
        <w:rPr>
          <w:rFonts w:cstheme="minorHAnsi"/>
        </w:rPr>
        <w:t>that</w:t>
      </w:r>
      <w:r w:rsidRPr="008017BB">
        <w:rPr>
          <w:rFonts w:cstheme="minorHAnsi"/>
        </w:rPr>
        <w:t xml:space="preserve"> handles the bulk of cases</w:t>
      </w:r>
      <w:r w:rsidR="000C3169" w:rsidRPr="000C3169">
        <w:rPr>
          <w:rFonts w:cstheme="minorHAnsi"/>
        </w:rPr>
        <w:t xml:space="preserve"> </w:t>
      </w:r>
      <w:r w:rsidR="000C3169" w:rsidRPr="008017BB">
        <w:rPr>
          <w:rFonts w:cstheme="minorHAnsi"/>
        </w:rPr>
        <w:t>in some counties of Kenya</w:t>
      </w:r>
      <w:r w:rsidR="00EE3BF4">
        <w:rPr>
          <w:rFonts w:cstheme="minorHAnsi"/>
        </w:rPr>
        <w:t>. They</w:t>
      </w:r>
      <w:r w:rsidRPr="008017BB">
        <w:rPr>
          <w:rFonts w:cstheme="minorHAnsi"/>
        </w:rPr>
        <w:t xml:space="preserve"> were trained on how to handle cases where victims are perso</w:t>
      </w:r>
      <w:r w:rsidR="00E27339">
        <w:rPr>
          <w:rFonts w:cstheme="minorHAnsi"/>
        </w:rPr>
        <w:t>ns with disabilities and sensitiz</w:t>
      </w:r>
      <w:r w:rsidRPr="008017BB">
        <w:rPr>
          <w:rFonts w:cstheme="minorHAnsi"/>
        </w:rPr>
        <w:t xml:space="preserve">ed on the importance of treating all victims equally while dispensing justice. </w:t>
      </w:r>
    </w:p>
    <w:p w:rsidR="007F515D" w:rsidRPr="008017BB" w:rsidRDefault="007F515D" w:rsidP="0024440B">
      <w:pPr>
        <w:spacing w:line="240" w:lineRule="auto"/>
        <w:jc w:val="both"/>
        <w:rPr>
          <w:rFonts w:cstheme="minorHAnsi"/>
        </w:rPr>
      </w:pPr>
      <w:r w:rsidRPr="008017BB">
        <w:rPr>
          <w:rFonts w:cstheme="minorHAnsi"/>
        </w:rPr>
        <w:t xml:space="preserve">In Zanzibar, Sharia Court officials were trained on how to handle cases of persons with disabilities and members of the formal justice system such as the Directorate of Public Prosecution were also trained. </w:t>
      </w:r>
    </w:p>
    <w:p w:rsidR="007F515D" w:rsidRPr="000367CC" w:rsidRDefault="007F515D" w:rsidP="0024440B">
      <w:pPr>
        <w:pStyle w:val="Heading3"/>
        <w:spacing w:before="0" w:after="200" w:line="240" w:lineRule="auto"/>
        <w:jc w:val="both"/>
        <w:rPr>
          <w:rFonts w:asciiTheme="minorHAnsi" w:hAnsiTheme="minorHAnsi" w:cstheme="minorHAnsi"/>
          <w:color w:val="auto"/>
        </w:rPr>
      </w:pPr>
      <w:r w:rsidRPr="000367CC">
        <w:rPr>
          <w:rFonts w:asciiTheme="minorHAnsi" w:hAnsiTheme="minorHAnsi" w:cstheme="minorHAnsi"/>
          <w:color w:val="auto"/>
        </w:rPr>
        <w:t xml:space="preserve">Goal 3: Enhancing access to education for PWDs through inclusive education at the primary level. </w:t>
      </w:r>
    </w:p>
    <w:p w:rsidR="007F515D" w:rsidRPr="008017BB" w:rsidRDefault="007F515D" w:rsidP="0024440B">
      <w:pPr>
        <w:spacing w:line="240" w:lineRule="auto"/>
        <w:jc w:val="both"/>
        <w:rPr>
          <w:rFonts w:cstheme="minorHAnsi"/>
        </w:rPr>
      </w:pPr>
      <w:r w:rsidRPr="008017BB">
        <w:rPr>
          <w:rFonts w:cstheme="minorHAnsi"/>
        </w:rPr>
        <w:t xml:space="preserve">In 2015, </w:t>
      </w:r>
      <w:r w:rsidR="00ED7AC2">
        <w:rPr>
          <w:rFonts w:cstheme="minorHAnsi"/>
        </w:rPr>
        <w:t>The Action Foundation (</w:t>
      </w:r>
      <w:r w:rsidRPr="008017BB">
        <w:rPr>
          <w:rFonts w:cstheme="minorHAnsi"/>
        </w:rPr>
        <w:t>TAF</w:t>
      </w:r>
      <w:r w:rsidR="00ED7AC2">
        <w:rPr>
          <w:rFonts w:cstheme="minorHAnsi"/>
        </w:rPr>
        <w:t>)</w:t>
      </w:r>
      <w:r w:rsidRPr="008017BB">
        <w:rPr>
          <w:rFonts w:cstheme="minorHAnsi"/>
        </w:rPr>
        <w:t xml:space="preserve"> carried out research on the accessibility of schools to learners with disabilities in Kibera slum of Nairobi</w:t>
      </w:r>
      <w:r w:rsidR="00ED7AC2">
        <w:rPr>
          <w:rFonts w:cstheme="minorHAnsi"/>
        </w:rPr>
        <w:t xml:space="preserve">, Kenya. The research which </w:t>
      </w:r>
      <w:r w:rsidRPr="008017BB">
        <w:rPr>
          <w:rFonts w:cstheme="minorHAnsi"/>
        </w:rPr>
        <w:t>discovered that teachers did not have enough training to teach learners with disabilit</w:t>
      </w:r>
      <w:r w:rsidR="00ED7AC2">
        <w:rPr>
          <w:rFonts w:cstheme="minorHAnsi"/>
        </w:rPr>
        <w:t xml:space="preserve">ies, </w:t>
      </w:r>
      <w:r w:rsidRPr="008017BB">
        <w:rPr>
          <w:rFonts w:cstheme="minorHAnsi"/>
        </w:rPr>
        <w:t>schools were physically inaccessible</w:t>
      </w:r>
      <w:r w:rsidR="00ED7AC2">
        <w:rPr>
          <w:rFonts w:cstheme="minorHAnsi"/>
        </w:rPr>
        <w:t>,</w:t>
      </w:r>
      <w:r w:rsidRPr="008017BB">
        <w:rPr>
          <w:rFonts w:cstheme="minorHAnsi"/>
        </w:rPr>
        <w:t xml:space="preserve"> </w:t>
      </w:r>
      <w:r w:rsidR="00ED7AC2">
        <w:rPr>
          <w:rFonts w:cstheme="minorHAnsi"/>
        </w:rPr>
        <w:t xml:space="preserve">and </w:t>
      </w:r>
      <w:r w:rsidRPr="008017BB">
        <w:rPr>
          <w:rFonts w:cstheme="minorHAnsi"/>
        </w:rPr>
        <w:t>teaching materials were not available among others</w:t>
      </w:r>
      <w:r w:rsidR="00ED7AC2">
        <w:rPr>
          <w:rFonts w:cstheme="minorHAnsi"/>
        </w:rPr>
        <w:t>,</w:t>
      </w:r>
      <w:r w:rsidRPr="008017BB">
        <w:rPr>
          <w:rFonts w:cstheme="minorHAnsi"/>
        </w:rPr>
        <w:t xml:space="preserve"> is now </w:t>
      </w:r>
      <w:r w:rsidR="00ED7AC2">
        <w:rPr>
          <w:rFonts w:cstheme="minorHAnsi"/>
        </w:rPr>
        <w:t>being used to discuss with the Ministry of E</w:t>
      </w:r>
      <w:r w:rsidRPr="008017BB">
        <w:rPr>
          <w:rFonts w:cstheme="minorHAnsi"/>
        </w:rPr>
        <w:t>ducation</w:t>
      </w:r>
      <w:r w:rsidR="00ED7AC2">
        <w:rPr>
          <w:rFonts w:cstheme="minorHAnsi"/>
        </w:rPr>
        <w:t>’s S</w:t>
      </w:r>
      <w:r w:rsidRPr="008017BB">
        <w:rPr>
          <w:rFonts w:cstheme="minorHAnsi"/>
        </w:rPr>
        <w:t xml:space="preserve">pecial </w:t>
      </w:r>
      <w:r w:rsidR="00ED7AC2">
        <w:rPr>
          <w:rFonts w:cstheme="minorHAnsi"/>
        </w:rPr>
        <w:t>N</w:t>
      </w:r>
      <w:r w:rsidRPr="008017BB">
        <w:rPr>
          <w:rFonts w:cstheme="minorHAnsi"/>
        </w:rPr>
        <w:t xml:space="preserve">eeds </w:t>
      </w:r>
      <w:r w:rsidR="00ED7AC2">
        <w:rPr>
          <w:rFonts w:cstheme="minorHAnsi"/>
        </w:rPr>
        <w:t>D</w:t>
      </w:r>
      <w:r w:rsidRPr="008017BB">
        <w:rPr>
          <w:rFonts w:cstheme="minorHAnsi"/>
        </w:rPr>
        <w:t xml:space="preserve">epartment and individual schools how to address these issues. </w:t>
      </w:r>
    </w:p>
    <w:p w:rsidR="007F515D" w:rsidRPr="008017BB" w:rsidRDefault="007F515D" w:rsidP="0024440B">
      <w:pPr>
        <w:spacing w:line="240" w:lineRule="auto"/>
        <w:jc w:val="both"/>
        <w:rPr>
          <w:rFonts w:cstheme="minorHAnsi"/>
        </w:rPr>
      </w:pPr>
      <w:r w:rsidRPr="008017BB">
        <w:rPr>
          <w:rFonts w:cstheme="minorHAnsi"/>
        </w:rPr>
        <w:t>In Tanzania</w:t>
      </w:r>
      <w:r w:rsidR="006A045A">
        <w:rPr>
          <w:rFonts w:cstheme="minorHAnsi"/>
        </w:rPr>
        <w:t>,</w:t>
      </w:r>
      <w:r w:rsidRPr="008017BB">
        <w:rPr>
          <w:rFonts w:cstheme="minorHAnsi"/>
        </w:rPr>
        <w:t xml:space="preserve"> </w:t>
      </w:r>
      <w:r w:rsidR="006A045A">
        <w:rPr>
          <w:rFonts w:cstheme="minorHAnsi"/>
        </w:rPr>
        <w:t>Child Support Tanzania (</w:t>
      </w:r>
      <w:r w:rsidRPr="008017BB">
        <w:rPr>
          <w:rFonts w:cstheme="minorHAnsi"/>
        </w:rPr>
        <w:t>CST</w:t>
      </w:r>
      <w:r w:rsidR="006A045A">
        <w:rPr>
          <w:rFonts w:cstheme="minorHAnsi"/>
        </w:rPr>
        <w:t>)</w:t>
      </w:r>
      <w:r w:rsidRPr="008017BB">
        <w:rPr>
          <w:rFonts w:cstheme="minorHAnsi"/>
        </w:rPr>
        <w:t xml:space="preserve"> </w:t>
      </w:r>
      <w:r w:rsidR="006A045A">
        <w:rPr>
          <w:rFonts w:cstheme="minorHAnsi"/>
        </w:rPr>
        <w:t>is</w:t>
      </w:r>
      <w:r w:rsidRPr="008017BB">
        <w:rPr>
          <w:rFonts w:cstheme="minorHAnsi"/>
        </w:rPr>
        <w:t xml:space="preserve"> sens</w:t>
      </w:r>
      <w:r w:rsidR="003E436A">
        <w:rPr>
          <w:rFonts w:cstheme="minorHAnsi"/>
        </w:rPr>
        <w:t>itiz</w:t>
      </w:r>
      <w:r w:rsidRPr="008017BB">
        <w:rPr>
          <w:rFonts w:cstheme="minorHAnsi"/>
        </w:rPr>
        <w:t xml:space="preserve">ing parents and the entire community in rural Mbeya district to take children with disabilities to school. As a result, eight schools have so far reported admission of learners with disabilities. In Uganda, </w:t>
      </w:r>
      <w:r w:rsidR="006A045A">
        <w:rPr>
          <w:rFonts w:cstheme="minorHAnsi"/>
        </w:rPr>
        <w:t xml:space="preserve">the </w:t>
      </w:r>
      <w:r w:rsidR="006A045A" w:rsidRPr="006A045A">
        <w:rPr>
          <w:rFonts w:cstheme="minorHAnsi"/>
        </w:rPr>
        <w:t xml:space="preserve">Hoima Network of Child Rights Clubs </w:t>
      </w:r>
      <w:r w:rsidR="006A045A">
        <w:rPr>
          <w:rFonts w:cstheme="minorHAnsi"/>
        </w:rPr>
        <w:t>(</w:t>
      </w:r>
      <w:r w:rsidRPr="008017BB">
        <w:rPr>
          <w:rFonts w:cstheme="minorHAnsi"/>
        </w:rPr>
        <w:t>HONECRIC</w:t>
      </w:r>
      <w:r w:rsidR="006A045A">
        <w:rPr>
          <w:rFonts w:cstheme="minorHAnsi"/>
        </w:rPr>
        <w:t>)</w:t>
      </w:r>
      <w:r w:rsidRPr="008017BB">
        <w:rPr>
          <w:rFonts w:cstheme="minorHAnsi"/>
        </w:rPr>
        <w:t xml:space="preserve"> is using child rights clubs to ensure that children in school learn about rights of fellow learners with disabilities and also encourages peer-peer learning among children. </w:t>
      </w:r>
    </w:p>
    <w:p w:rsidR="007F515D" w:rsidRPr="008017BB" w:rsidRDefault="007F515D" w:rsidP="0024440B">
      <w:pPr>
        <w:spacing w:line="240" w:lineRule="auto"/>
        <w:jc w:val="both"/>
        <w:rPr>
          <w:rFonts w:cstheme="minorHAnsi"/>
        </w:rPr>
      </w:pPr>
      <w:r w:rsidRPr="008017BB">
        <w:rPr>
          <w:rFonts w:cstheme="minorHAnsi"/>
        </w:rPr>
        <w:t xml:space="preserve">The work </w:t>
      </w:r>
      <w:r w:rsidR="00610400">
        <w:rPr>
          <w:rFonts w:cstheme="minorHAnsi"/>
        </w:rPr>
        <w:t>OSIEA s</w:t>
      </w:r>
      <w:r w:rsidRPr="008017BB">
        <w:rPr>
          <w:rFonts w:cstheme="minorHAnsi"/>
        </w:rPr>
        <w:t>upport</w:t>
      </w:r>
      <w:r w:rsidR="00610400">
        <w:rPr>
          <w:rFonts w:cstheme="minorHAnsi"/>
        </w:rPr>
        <w:t xml:space="preserve">s </w:t>
      </w:r>
      <w:r w:rsidRPr="008017BB">
        <w:rPr>
          <w:rFonts w:cstheme="minorHAnsi"/>
        </w:rPr>
        <w:t xml:space="preserve">on inclusive education has made much gain at the community level where individual groups are working. The community success has however not been translated to national level policy and pedagogy changes. Moving forward into 2016, </w:t>
      </w:r>
      <w:r w:rsidR="00610400">
        <w:rPr>
          <w:rFonts w:cstheme="minorHAnsi"/>
        </w:rPr>
        <w:t>OSIEA</w:t>
      </w:r>
      <w:r w:rsidRPr="008017BB">
        <w:rPr>
          <w:rFonts w:cstheme="minorHAnsi"/>
        </w:rPr>
        <w:t xml:space="preserve"> would like to consider how to change and implement policies on inclusive education at the national level. </w:t>
      </w:r>
    </w:p>
    <w:p w:rsidR="007F515D" w:rsidRPr="000367CC" w:rsidRDefault="007F515D" w:rsidP="0024440B">
      <w:pPr>
        <w:pStyle w:val="Heading3"/>
        <w:spacing w:before="0" w:after="200" w:line="240" w:lineRule="auto"/>
        <w:jc w:val="both"/>
        <w:rPr>
          <w:rFonts w:asciiTheme="minorHAnsi" w:hAnsiTheme="minorHAnsi" w:cstheme="minorHAnsi"/>
          <w:color w:val="auto"/>
        </w:rPr>
      </w:pPr>
      <w:r w:rsidRPr="000367CC">
        <w:rPr>
          <w:rFonts w:asciiTheme="minorHAnsi" w:hAnsiTheme="minorHAnsi" w:cstheme="minorHAnsi"/>
          <w:color w:val="auto"/>
        </w:rPr>
        <w:t xml:space="preserve">Goal 4: Fighting discrimination and promoting equality for persons with disabilities. </w:t>
      </w:r>
    </w:p>
    <w:p w:rsidR="007F515D" w:rsidRPr="008017BB" w:rsidRDefault="00610400" w:rsidP="0024440B">
      <w:pPr>
        <w:spacing w:line="240" w:lineRule="auto"/>
        <w:jc w:val="both"/>
        <w:rPr>
          <w:rFonts w:cstheme="minorHAnsi"/>
          <w:color w:val="000000" w:themeColor="text1"/>
        </w:rPr>
      </w:pPr>
      <w:r>
        <w:rPr>
          <w:rFonts w:cstheme="minorHAnsi"/>
        </w:rPr>
        <w:t>The program</w:t>
      </w:r>
      <w:r w:rsidR="007F515D" w:rsidRPr="008017BB">
        <w:rPr>
          <w:rFonts w:cstheme="minorHAnsi"/>
        </w:rPr>
        <w:t xml:space="preserve"> supported Tanzania Albinism Society (TAS) and </w:t>
      </w:r>
      <w:r w:rsidR="003E436A">
        <w:rPr>
          <w:rFonts w:cstheme="minorHAnsi"/>
          <w:color w:val="000000" w:themeColor="text1"/>
        </w:rPr>
        <w:t>Disabled Organiz</w:t>
      </w:r>
      <w:r w:rsidR="007F515D" w:rsidRPr="008017BB">
        <w:rPr>
          <w:rFonts w:cstheme="minorHAnsi"/>
          <w:color w:val="000000" w:themeColor="text1"/>
        </w:rPr>
        <w:t>ation for Legal Affairs and Social Economic Development (DOLASED) to advocate for rights of persons with albinism who are at risk of ritual attacks and murders</w:t>
      </w:r>
      <w:r w:rsidR="006A045A">
        <w:rPr>
          <w:rFonts w:cstheme="minorHAnsi"/>
          <w:color w:val="000000" w:themeColor="text1"/>
        </w:rPr>
        <w:t>, as well as</w:t>
      </w:r>
      <w:r w:rsidR="007F515D" w:rsidRPr="008017BB">
        <w:rPr>
          <w:rFonts w:cstheme="minorHAnsi"/>
          <w:color w:val="000000" w:themeColor="text1"/>
        </w:rPr>
        <w:t xml:space="preserve"> the</w:t>
      </w:r>
      <w:r w:rsidR="003E436A">
        <w:rPr>
          <w:rFonts w:cstheme="minorHAnsi"/>
          <w:color w:val="000000" w:themeColor="text1"/>
        </w:rPr>
        <w:t xml:space="preserve"> deconstruction of camps where </w:t>
      </w:r>
      <w:r w:rsidR="006A045A">
        <w:rPr>
          <w:rFonts w:cstheme="minorHAnsi"/>
          <w:color w:val="000000" w:themeColor="text1"/>
        </w:rPr>
        <w:t xml:space="preserve">the </w:t>
      </w:r>
      <w:r w:rsidR="003E436A">
        <w:rPr>
          <w:rFonts w:cstheme="minorHAnsi"/>
          <w:color w:val="000000" w:themeColor="text1"/>
        </w:rPr>
        <w:t>government</w:t>
      </w:r>
      <w:r w:rsidR="007F515D" w:rsidRPr="008017BB">
        <w:rPr>
          <w:rFonts w:cstheme="minorHAnsi"/>
          <w:color w:val="000000" w:themeColor="text1"/>
        </w:rPr>
        <w:t xml:space="preserve"> took persons with albinism </w:t>
      </w:r>
      <w:r w:rsidR="006A045A">
        <w:rPr>
          <w:rFonts w:cstheme="minorHAnsi"/>
          <w:color w:val="000000" w:themeColor="text1"/>
        </w:rPr>
        <w:t>to protect them</w:t>
      </w:r>
      <w:r w:rsidR="007F515D" w:rsidRPr="008017BB">
        <w:rPr>
          <w:rFonts w:cstheme="minorHAnsi"/>
          <w:color w:val="000000" w:themeColor="text1"/>
        </w:rPr>
        <w:t xml:space="preserve">. The groups have used a report they published on the state of albinism camps in Tanzania to discuss with </w:t>
      </w:r>
      <w:r w:rsidR="00531449">
        <w:rPr>
          <w:rFonts w:cstheme="minorHAnsi"/>
          <w:color w:val="000000" w:themeColor="text1"/>
        </w:rPr>
        <w:t xml:space="preserve">the </w:t>
      </w:r>
      <w:r w:rsidR="007F515D" w:rsidRPr="008017BB">
        <w:rPr>
          <w:rFonts w:cstheme="minorHAnsi"/>
          <w:color w:val="000000" w:themeColor="text1"/>
        </w:rPr>
        <w:t xml:space="preserve">government how to improve conditions in these camps as an interim measure </w:t>
      </w:r>
      <w:r w:rsidR="009C53E8">
        <w:rPr>
          <w:rFonts w:cstheme="minorHAnsi"/>
          <w:color w:val="000000" w:themeColor="text1"/>
        </w:rPr>
        <w:t xml:space="preserve">prior </w:t>
      </w:r>
      <w:r w:rsidR="007F515D" w:rsidRPr="008017BB">
        <w:rPr>
          <w:rFonts w:cstheme="minorHAnsi"/>
          <w:color w:val="000000" w:themeColor="text1"/>
        </w:rPr>
        <w:t>to returning people into their communities. At the moment, there is little improvement in the living conditions of people living in the camps. Groups have also continued sens</w:t>
      </w:r>
      <w:r w:rsidR="003E436A">
        <w:rPr>
          <w:rFonts w:cstheme="minorHAnsi"/>
          <w:color w:val="000000" w:themeColor="text1"/>
        </w:rPr>
        <w:t>itiz</w:t>
      </w:r>
      <w:r w:rsidR="007F515D" w:rsidRPr="008017BB">
        <w:rPr>
          <w:rFonts w:cstheme="minorHAnsi"/>
          <w:color w:val="000000" w:themeColor="text1"/>
        </w:rPr>
        <w:t>ing communities to change the misconceptions about albinism</w:t>
      </w:r>
      <w:r w:rsidR="003E436A">
        <w:rPr>
          <w:rFonts w:cstheme="minorHAnsi"/>
          <w:color w:val="000000" w:themeColor="text1"/>
        </w:rPr>
        <w:t xml:space="preserve">; for instance, to </w:t>
      </w:r>
      <w:r w:rsidR="009C53E8">
        <w:rPr>
          <w:rFonts w:cstheme="minorHAnsi"/>
          <w:color w:val="000000" w:themeColor="text1"/>
        </w:rPr>
        <w:t xml:space="preserve">demystify </w:t>
      </w:r>
      <w:r w:rsidR="003E436A">
        <w:rPr>
          <w:rFonts w:cstheme="minorHAnsi"/>
          <w:color w:val="000000" w:themeColor="text1"/>
        </w:rPr>
        <w:t xml:space="preserve">the view that </w:t>
      </w:r>
      <w:r w:rsidR="007F515D" w:rsidRPr="008017BB">
        <w:rPr>
          <w:rFonts w:cstheme="minorHAnsi"/>
          <w:color w:val="000000" w:themeColor="text1"/>
        </w:rPr>
        <w:t xml:space="preserve">their body parts are a </w:t>
      </w:r>
      <w:r w:rsidR="007F515D" w:rsidRPr="008017BB">
        <w:rPr>
          <w:rFonts w:cstheme="minorHAnsi"/>
          <w:color w:val="000000" w:themeColor="text1"/>
        </w:rPr>
        <w:lastRenderedPageBreak/>
        <w:t xml:space="preserve">source of wealth. This has been an extremely slow process but </w:t>
      </w:r>
      <w:r w:rsidR="005F1200">
        <w:rPr>
          <w:rFonts w:cstheme="minorHAnsi"/>
          <w:color w:val="000000" w:themeColor="text1"/>
        </w:rPr>
        <w:t xml:space="preserve">one that has seen </w:t>
      </w:r>
      <w:r w:rsidR="007F515D" w:rsidRPr="008017BB">
        <w:rPr>
          <w:rFonts w:cstheme="minorHAnsi"/>
          <w:color w:val="000000" w:themeColor="text1"/>
        </w:rPr>
        <w:t xml:space="preserve">the number of reported attacks in 2015, </w:t>
      </w:r>
      <w:r w:rsidR="005F1200">
        <w:rPr>
          <w:rFonts w:cstheme="minorHAnsi"/>
          <w:color w:val="000000" w:themeColor="text1"/>
        </w:rPr>
        <w:t>being much</w:t>
      </w:r>
      <w:r w:rsidR="007F515D" w:rsidRPr="008017BB">
        <w:rPr>
          <w:rFonts w:cstheme="minorHAnsi"/>
          <w:color w:val="000000" w:themeColor="text1"/>
        </w:rPr>
        <w:t xml:space="preserve"> less compared to 2014. </w:t>
      </w:r>
    </w:p>
    <w:p w:rsidR="007F515D" w:rsidRPr="000367CC" w:rsidRDefault="007F515D" w:rsidP="0024440B">
      <w:pPr>
        <w:pStyle w:val="Heading3"/>
        <w:spacing w:before="0" w:after="200" w:line="240" w:lineRule="auto"/>
        <w:jc w:val="both"/>
        <w:rPr>
          <w:rFonts w:asciiTheme="minorHAnsi" w:hAnsiTheme="minorHAnsi" w:cstheme="minorHAnsi"/>
          <w:color w:val="auto"/>
        </w:rPr>
      </w:pPr>
      <w:r w:rsidRPr="000367CC">
        <w:rPr>
          <w:rFonts w:asciiTheme="minorHAnsi" w:hAnsiTheme="minorHAnsi" w:cstheme="minorHAnsi"/>
          <w:color w:val="auto"/>
        </w:rPr>
        <w:t xml:space="preserve">Goal 5: Building local communities in which persons with disabilities can effectively participate in community programs/activities. </w:t>
      </w:r>
    </w:p>
    <w:p w:rsidR="00501C4E" w:rsidRDefault="005F1200" w:rsidP="0024440B">
      <w:pPr>
        <w:spacing w:line="240" w:lineRule="auto"/>
        <w:jc w:val="both"/>
        <w:rPr>
          <w:rFonts w:cstheme="minorHAnsi"/>
        </w:rPr>
      </w:pPr>
      <w:r>
        <w:rPr>
          <w:rFonts w:cstheme="minorHAnsi"/>
        </w:rPr>
        <w:t>The program’s</w:t>
      </w:r>
      <w:r w:rsidR="007F515D" w:rsidRPr="008017BB">
        <w:rPr>
          <w:rFonts w:cstheme="minorHAnsi"/>
        </w:rPr>
        <w:t xml:space="preserve"> efforts in 2015 went towards supporting groups of persons with mental disabilities and associations of parents and guardians of children with intellectual disabilities to ensure that they are accepted and participate in their communities. </w:t>
      </w:r>
      <w:r>
        <w:rPr>
          <w:rFonts w:cstheme="minorHAnsi"/>
        </w:rPr>
        <w:t>OSIEA</w:t>
      </w:r>
      <w:r w:rsidR="007F515D" w:rsidRPr="008017BB">
        <w:rPr>
          <w:rFonts w:cstheme="minorHAnsi"/>
        </w:rPr>
        <w:t xml:space="preserve"> supported</w:t>
      </w:r>
      <w:r w:rsidR="009C53E8">
        <w:rPr>
          <w:rFonts w:cstheme="minorHAnsi"/>
        </w:rPr>
        <w:t xml:space="preserve"> the</w:t>
      </w:r>
      <w:r w:rsidR="007F515D" w:rsidRPr="008017BB">
        <w:rPr>
          <w:rFonts w:cstheme="minorHAnsi"/>
        </w:rPr>
        <w:t xml:space="preserve"> Autism Society of Kenya</w:t>
      </w:r>
      <w:r w:rsidR="009C53E8">
        <w:rPr>
          <w:rFonts w:cstheme="minorHAnsi"/>
        </w:rPr>
        <w:t xml:space="preserve"> (ASK)</w:t>
      </w:r>
      <w:r w:rsidR="007F515D" w:rsidRPr="008017BB">
        <w:rPr>
          <w:rFonts w:cstheme="minorHAnsi"/>
        </w:rPr>
        <w:t>, Caritas Ny</w:t>
      </w:r>
      <w:r w:rsidR="00501C4E">
        <w:rPr>
          <w:rFonts w:cstheme="minorHAnsi"/>
        </w:rPr>
        <w:t>e</w:t>
      </w:r>
      <w:r w:rsidR="007F515D" w:rsidRPr="008017BB">
        <w:rPr>
          <w:rFonts w:cstheme="minorHAnsi"/>
        </w:rPr>
        <w:t>ri, Light and Hope for Children with</w:t>
      </w:r>
      <w:r w:rsidR="009C53E8">
        <w:rPr>
          <w:rFonts w:cstheme="minorHAnsi"/>
        </w:rPr>
        <w:t xml:space="preserve"> Disabilities, Users and Survivo</w:t>
      </w:r>
      <w:r w:rsidR="007F515D" w:rsidRPr="008017BB">
        <w:rPr>
          <w:rFonts w:cstheme="minorHAnsi"/>
        </w:rPr>
        <w:t>rs of Psychiatry i</w:t>
      </w:r>
      <w:r w:rsidR="009C53E8">
        <w:rPr>
          <w:rFonts w:cstheme="minorHAnsi"/>
        </w:rPr>
        <w:t xml:space="preserve">n Kenya (USPK) and </w:t>
      </w:r>
      <w:r w:rsidR="007F515D" w:rsidRPr="008017BB">
        <w:rPr>
          <w:rFonts w:cstheme="minorHAnsi"/>
        </w:rPr>
        <w:t xml:space="preserve">KAIH. Caritas Nyeri and USPK concentrated on developing community groups of persons with psychosocial disabilities. </w:t>
      </w:r>
    </w:p>
    <w:p w:rsidR="007F515D" w:rsidRPr="008017BB" w:rsidRDefault="007F515D" w:rsidP="0024440B">
      <w:pPr>
        <w:spacing w:line="240" w:lineRule="auto"/>
        <w:jc w:val="both"/>
        <w:rPr>
          <w:rFonts w:cstheme="minorHAnsi"/>
        </w:rPr>
      </w:pPr>
      <w:r w:rsidRPr="008017BB">
        <w:rPr>
          <w:rFonts w:cstheme="minorHAnsi"/>
        </w:rPr>
        <w:t xml:space="preserve">Through the different groups created, persons with mental </w:t>
      </w:r>
      <w:r w:rsidR="005E301E">
        <w:rPr>
          <w:rFonts w:cstheme="minorHAnsi"/>
        </w:rPr>
        <w:t>disabilities we</w:t>
      </w:r>
      <w:r w:rsidRPr="008017BB">
        <w:rPr>
          <w:rFonts w:cstheme="minorHAnsi"/>
        </w:rPr>
        <w:t>re given a platform to learn from each other and the human rights violations discovere</w:t>
      </w:r>
      <w:r w:rsidR="005E301E">
        <w:rPr>
          <w:rFonts w:cstheme="minorHAnsi"/>
        </w:rPr>
        <w:t>d from the group discussions will be</w:t>
      </w:r>
      <w:r w:rsidRPr="008017BB">
        <w:rPr>
          <w:rFonts w:cstheme="minorHAnsi"/>
        </w:rPr>
        <w:t xml:space="preserve"> followed up by the organizations </w:t>
      </w:r>
      <w:r w:rsidR="005F1200">
        <w:rPr>
          <w:rFonts w:cstheme="minorHAnsi"/>
        </w:rPr>
        <w:t>OSIEA</w:t>
      </w:r>
      <w:r w:rsidRPr="008017BB">
        <w:rPr>
          <w:rFonts w:cstheme="minorHAnsi"/>
        </w:rPr>
        <w:t xml:space="preserve"> support</w:t>
      </w:r>
      <w:r w:rsidR="005F1200">
        <w:rPr>
          <w:rFonts w:cstheme="minorHAnsi"/>
        </w:rPr>
        <w:t>s</w:t>
      </w:r>
      <w:r w:rsidRPr="008017BB">
        <w:rPr>
          <w:rFonts w:cstheme="minorHAnsi"/>
        </w:rPr>
        <w:t xml:space="preserve"> for redress. The established g</w:t>
      </w:r>
      <w:r w:rsidR="00FD3962">
        <w:rPr>
          <w:rFonts w:cstheme="minorHAnsi"/>
        </w:rPr>
        <w:t>roups were also able to attract g</w:t>
      </w:r>
      <w:r w:rsidRPr="008017BB">
        <w:rPr>
          <w:rFonts w:cstheme="minorHAnsi"/>
        </w:rPr>
        <w:t>overnment programs. For example, the US</w:t>
      </w:r>
      <w:r w:rsidR="00FD3962">
        <w:rPr>
          <w:rFonts w:cstheme="minorHAnsi"/>
        </w:rPr>
        <w:t>PK peer groups in Nyeri and Kara</w:t>
      </w:r>
      <w:r w:rsidRPr="008017BB">
        <w:rPr>
          <w:rFonts w:cstheme="minorHAnsi"/>
        </w:rPr>
        <w:t xml:space="preserve">tina have now received funds from the National Council for Disability </w:t>
      </w:r>
      <w:r w:rsidR="00FD3962">
        <w:rPr>
          <w:rFonts w:cstheme="minorHAnsi"/>
        </w:rPr>
        <w:t xml:space="preserve">(NCD) </w:t>
      </w:r>
      <w:r w:rsidRPr="008017BB">
        <w:rPr>
          <w:rFonts w:cstheme="minorHAnsi"/>
        </w:rPr>
        <w:t>to engage in income generati</w:t>
      </w:r>
      <w:r w:rsidR="00501C4E">
        <w:rPr>
          <w:rFonts w:cstheme="minorHAnsi"/>
        </w:rPr>
        <w:t>ng activities such as tree plant</w:t>
      </w:r>
      <w:r w:rsidRPr="008017BB">
        <w:rPr>
          <w:rFonts w:cstheme="minorHAnsi"/>
        </w:rPr>
        <w:t xml:space="preserve">ing. Some groups have also received funds from the Community Development Fund </w:t>
      </w:r>
      <w:r w:rsidR="00FD3962">
        <w:rPr>
          <w:rFonts w:cstheme="minorHAnsi"/>
        </w:rPr>
        <w:t xml:space="preserve">(CDF) </w:t>
      </w:r>
      <w:r w:rsidRPr="008017BB">
        <w:rPr>
          <w:rFonts w:cstheme="minorHAnsi"/>
        </w:rPr>
        <w:t xml:space="preserve">to begin savings and credit schemes. </w:t>
      </w:r>
    </w:p>
    <w:p w:rsidR="007F515D" w:rsidRPr="00BE7450" w:rsidRDefault="00501C4E" w:rsidP="0024440B">
      <w:pPr>
        <w:pStyle w:val="Heading2"/>
        <w:spacing w:after="200"/>
        <w:ind w:left="0"/>
        <w:jc w:val="both"/>
        <w:rPr>
          <w:rFonts w:asciiTheme="minorHAnsi" w:hAnsiTheme="minorHAnsi" w:cstheme="minorHAnsi"/>
          <w:i w:val="0"/>
        </w:rPr>
      </w:pPr>
      <w:r w:rsidRPr="00BE7450">
        <w:rPr>
          <w:rFonts w:asciiTheme="minorHAnsi" w:hAnsiTheme="minorHAnsi" w:cstheme="minorHAnsi"/>
          <w:i w:val="0"/>
        </w:rPr>
        <w:t xml:space="preserve">Overall assessment </w:t>
      </w:r>
    </w:p>
    <w:p w:rsidR="007F515D" w:rsidRPr="00BE7450" w:rsidRDefault="007F515D" w:rsidP="0024440B">
      <w:pPr>
        <w:pStyle w:val="Heading2"/>
        <w:spacing w:after="200"/>
        <w:ind w:left="0"/>
        <w:jc w:val="both"/>
        <w:rPr>
          <w:rFonts w:asciiTheme="minorHAnsi" w:hAnsiTheme="minorHAnsi" w:cstheme="minorHAnsi"/>
          <w:b w:val="0"/>
          <w:i w:val="0"/>
        </w:rPr>
      </w:pPr>
      <w:r w:rsidRPr="00BE7450">
        <w:rPr>
          <w:rFonts w:asciiTheme="minorHAnsi" w:hAnsiTheme="minorHAnsi" w:cstheme="minorHAnsi"/>
          <w:b w:val="0"/>
          <w:i w:val="0"/>
        </w:rPr>
        <w:t xml:space="preserve">2015 was largely a successful year. </w:t>
      </w:r>
      <w:r w:rsidR="005F1200">
        <w:rPr>
          <w:rFonts w:asciiTheme="minorHAnsi" w:hAnsiTheme="minorHAnsi" w:cstheme="minorHAnsi"/>
          <w:b w:val="0"/>
          <w:i w:val="0"/>
        </w:rPr>
        <w:t>W</w:t>
      </w:r>
      <w:r w:rsidRPr="00BE7450">
        <w:rPr>
          <w:rFonts w:asciiTheme="minorHAnsi" w:hAnsiTheme="minorHAnsi" w:cstheme="minorHAnsi"/>
          <w:b w:val="0"/>
          <w:i w:val="0"/>
        </w:rPr>
        <w:t>ork on teaching disability rights in higher institutions of lea</w:t>
      </w:r>
      <w:r w:rsidR="00293CA3" w:rsidRPr="00BE7450">
        <w:rPr>
          <w:rFonts w:asciiTheme="minorHAnsi" w:hAnsiTheme="minorHAnsi" w:cstheme="minorHAnsi"/>
          <w:b w:val="0"/>
          <w:i w:val="0"/>
        </w:rPr>
        <w:t>rning picked up speed with two u</w:t>
      </w:r>
      <w:r w:rsidRPr="00BE7450">
        <w:rPr>
          <w:rFonts w:asciiTheme="minorHAnsi" w:hAnsiTheme="minorHAnsi" w:cstheme="minorHAnsi"/>
          <w:b w:val="0"/>
          <w:i w:val="0"/>
        </w:rPr>
        <w:t xml:space="preserve">niversities now having curricula on disability rights and one more already teaching the course. Groups have started taking on individual cases of violence against persons with disabilities in </w:t>
      </w:r>
      <w:r w:rsidR="00293CA3" w:rsidRPr="00BE7450">
        <w:rPr>
          <w:rFonts w:asciiTheme="minorHAnsi" w:hAnsiTheme="minorHAnsi" w:cstheme="minorHAnsi"/>
          <w:b w:val="0"/>
          <w:i w:val="0"/>
        </w:rPr>
        <w:t>c</w:t>
      </w:r>
      <w:r w:rsidRPr="00BE7450">
        <w:rPr>
          <w:rFonts w:asciiTheme="minorHAnsi" w:hAnsiTheme="minorHAnsi" w:cstheme="minorHAnsi"/>
          <w:b w:val="0"/>
          <w:i w:val="0"/>
        </w:rPr>
        <w:t xml:space="preserve">ourt and slowly they are learning how to provide the necessary accommodations and support. </w:t>
      </w:r>
    </w:p>
    <w:p w:rsidR="00E703CE" w:rsidRPr="00C76EA9" w:rsidRDefault="00E703CE" w:rsidP="00E703CE">
      <w:pPr>
        <w:spacing w:line="240" w:lineRule="auto"/>
        <w:jc w:val="both"/>
        <w:rPr>
          <w:rFonts w:cstheme="minorHAnsi"/>
        </w:rPr>
      </w:pPr>
      <w:r w:rsidRPr="00C76EA9">
        <w:rPr>
          <w:rFonts w:cstheme="minorHAnsi"/>
        </w:rPr>
        <w:t xml:space="preserve">2015 had some turbulence for the disability movement in the region. Traditional funders of the movement such as the Norwegians cut their expenditure to civil society by more than 60 percent which led to the closure of projects at organizations such as </w:t>
      </w:r>
      <w:r w:rsidRPr="00C76EA9">
        <w:t>Zanzibar Association for People with Developmental Disabilities</w:t>
      </w:r>
      <w:r w:rsidRPr="00C76EA9">
        <w:rPr>
          <w:rFonts w:cstheme="minorHAnsi"/>
        </w:rPr>
        <w:t xml:space="preserve"> (ZAPDD) and Inclusion Africa among others. The Danish who were the biggest funders of the movement in Uganda are also pulling out. The Foundation for Civil Society (FCS) which supported most of the groups in Tanzania has also not had funding for more than a year. This has seriously strained the groups </w:t>
      </w:r>
      <w:r w:rsidR="005F1200">
        <w:rPr>
          <w:rFonts w:cstheme="minorHAnsi"/>
        </w:rPr>
        <w:t>OSIEA</w:t>
      </w:r>
      <w:r w:rsidRPr="00C76EA9">
        <w:rPr>
          <w:rFonts w:cstheme="minorHAnsi"/>
        </w:rPr>
        <w:t xml:space="preserve"> support</w:t>
      </w:r>
      <w:r w:rsidR="005F1200">
        <w:rPr>
          <w:rFonts w:cstheme="minorHAnsi"/>
        </w:rPr>
        <w:t>s</w:t>
      </w:r>
      <w:r w:rsidRPr="00C76EA9">
        <w:rPr>
          <w:rFonts w:cstheme="minorHAnsi"/>
        </w:rPr>
        <w:t xml:space="preserve"> with many requesting OSIEA to adjust funding to cover their administrative costs. </w:t>
      </w:r>
    </w:p>
    <w:p w:rsidR="00E703CE" w:rsidRPr="00BE7450" w:rsidRDefault="00E703CE" w:rsidP="00E703CE">
      <w:pPr>
        <w:pStyle w:val="Heading2"/>
        <w:spacing w:after="200"/>
        <w:ind w:left="0"/>
        <w:jc w:val="both"/>
        <w:rPr>
          <w:rFonts w:asciiTheme="minorHAnsi" w:hAnsiTheme="minorHAnsi" w:cstheme="minorHAnsi"/>
          <w:b w:val="0"/>
          <w:i w:val="0"/>
        </w:rPr>
      </w:pPr>
      <w:r w:rsidRPr="00BE7450">
        <w:rPr>
          <w:rFonts w:asciiTheme="minorHAnsi" w:hAnsiTheme="minorHAnsi" w:cstheme="minorHAnsi"/>
          <w:b w:val="0"/>
          <w:i w:val="0"/>
        </w:rPr>
        <w:t xml:space="preserve">The processing of grants and payments took a slow pace due to challenges with GMS and the numerous steps taken in Foundation Connect. As such, </w:t>
      </w:r>
      <w:r w:rsidR="005F1200">
        <w:rPr>
          <w:rFonts w:asciiTheme="minorHAnsi" w:hAnsiTheme="minorHAnsi" w:cstheme="minorHAnsi"/>
          <w:b w:val="0"/>
          <w:i w:val="0"/>
        </w:rPr>
        <w:t>there was</w:t>
      </w:r>
      <w:r w:rsidRPr="00BE7450">
        <w:rPr>
          <w:rFonts w:asciiTheme="minorHAnsi" w:hAnsiTheme="minorHAnsi" w:cstheme="minorHAnsi"/>
          <w:b w:val="0"/>
          <w:i w:val="0"/>
        </w:rPr>
        <w:t xml:space="preserve"> a rash of activities towards the end of the year. </w:t>
      </w:r>
    </w:p>
    <w:p w:rsidR="00E703CE" w:rsidRDefault="00E703CE" w:rsidP="00E703CE">
      <w:pPr>
        <w:pStyle w:val="Heading2"/>
        <w:spacing w:after="200"/>
        <w:ind w:left="0"/>
        <w:jc w:val="both"/>
        <w:rPr>
          <w:rFonts w:asciiTheme="minorHAnsi" w:hAnsiTheme="minorHAnsi" w:cstheme="minorHAnsi"/>
        </w:rPr>
      </w:pPr>
      <w:r w:rsidRPr="00BE7450">
        <w:rPr>
          <w:rFonts w:asciiTheme="minorHAnsi" w:hAnsiTheme="minorHAnsi" w:cstheme="minorHAnsi"/>
          <w:b w:val="0"/>
          <w:i w:val="0"/>
        </w:rPr>
        <w:t xml:space="preserve">The program spent more than 90 percent of </w:t>
      </w:r>
      <w:r w:rsidR="005F1200">
        <w:rPr>
          <w:rFonts w:asciiTheme="minorHAnsi" w:hAnsiTheme="minorHAnsi" w:cstheme="minorHAnsi"/>
          <w:b w:val="0"/>
          <w:i w:val="0"/>
        </w:rPr>
        <w:t>its</w:t>
      </w:r>
      <w:r w:rsidRPr="00BE7450">
        <w:rPr>
          <w:rFonts w:asciiTheme="minorHAnsi" w:hAnsiTheme="minorHAnsi" w:cstheme="minorHAnsi"/>
          <w:b w:val="0"/>
          <w:i w:val="0"/>
        </w:rPr>
        <w:t xml:space="preserve"> budget through grants. This is because </w:t>
      </w:r>
      <w:r w:rsidR="005F1200">
        <w:rPr>
          <w:rFonts w:asciiTheme="minorHAnsi" w:hAnsiTheme="minorHAnsi" w:cstheme="minorHAnsi"/>
          <w:b w:val="0"/>
          <w:i w:val="0"/>
        </w:rPr>
        <w:t xml:space="preserve">of a </w:t>
      </w:r>
      <w:r w:rsidRPr="00BE7450">
        <w:rPr>
          <w:rFonts w:asciiTheme="minorHAnsi" w:hAnsiTheme="minorHAnsi" w:cstheme="minorHAnsi"/>
          <w:b w:val="0"/>
          <w:i w:val="0"/>
        </w:rPr>
        <w:t>belie</w:t>
      </w:r>
      <w:r w:rsidR="005F1200">
        <w:rPr>
          <w:rFonts w:asciiTheme="minorHAnsi" w:hAnsiTheme="minorHAnsi" w:cstheme="minorHAnsi"/>
          <w:b w:val="0"/>
          <w:i w:val="0"/>
        </w:rPr>
        <w:t>f</w:t>
      </w:r>
      <w:r w:rsidRPr="00BE7450">
        <w:rPr>
          <w:rFonts w:asciiTheme="minorHAnsi" w:hAnsiTheme="minorHAnsi" w:cstheme="minorHAnsi"/>
          <w:b w:val="0"/>
          <w:i w:val="0"/>
        </w:rPr>
        <w:t xml:space="preserve"> that group’s best know their problems and how they can be addressed. </w:t>
      </w:r>
      <w:r w:rsidR="005F1200">
        <w:rPr>
          <w:rFonts w:asciiTheme="minorHAnsi" w:hAnsiTheme="minorHAnsi" w:cstheme="minorHAnsi"/>
          <w:b w:val="0"/>
          <w:i w:val="0"/>
        </w:rPr>
        <w:t>The</w:t>
      </w:r>
      <w:r w:rsidRPr="00BE7450">
        <w:rPr>
          <w:rFonts w:asciiTheme="minorHAnsi" w:hAnsiTheme="minorHAnsi" w:cstheme="minorHAnsi"/>
          <w:b w:val="0"/>
          <w:i w:val="0"/>
        </w:rPr>
        <w:t xml:space="preserve"> small expenditure on consultancies provided technical support to the groups where it was deemed necessary</w:t>
      </w:r>
      <w:r w:rsidRPr="00BE7450">
        <w:rPr>
          <w:rFonts w:asciiTheme="minorHAnsi" w:hAnsiTheme="minorHAnsi" w:cstheme="minorHAnsi"/>
        </w:rPr>
        <w:t>.</w:t>
      </w:r>
      <w:r w:rsidRPr="008017BB">
        <w:rPr>
          <w:rFonts w:asciiTheme="minorHAnsi" w:hAnsiTheme="minorHAnsi" w:cstheme="minorHAnsi"/>
        </w:rPr>
        <w:t xml:space="preserve"> </w:t>
      </w:r>
    </w:p>
    <w:p w:rsidR="00E703CE" w:rsidRPr="00C76EA9" w:rsidRDefault="00E703CE" w:rsidP="00E703CE">
      <w:pPr>
        <w:spacing w:line="240" w:lineRule="auto"/>
        <w:jc w:val="both"/>
        <w:rPr>
          <w:rFonts w:cstheme="minorHAnsi"/>
        </w:rPr>
      </w:pPr>
      <w:r w:rsidRPr="00C76EA9">
        <w:rPr>
          <w:rFonts w:cstheme="minorHAnsi"/>
        </w:rPr>
        <w:t xml:space="preserve">South Sudan was not considered ready for investment in disability rights. </w:t>
      </w:r>
    </w:p>
    <w:p w:rsidR="00E703CE" w:rsidRPr="008017BB" w:rsidRDefault="00E703CE" w:rsidP="0024440B">
      <w:pPr>
        <w:pStyle w:val="Heading2"/>
        <w:spacing w:after="200"/>
        <w:ind w:left="0"/>
        <w:jc w:val="both"/>
        <w:rPr>
          <w:rFonts w:asciiTheme="minorHAnsi" w:hAnsiTheme="minorHAnsi" w:cstheme="minorHAnsi"/>
        </w:rPr>
      </w:pPr>
    </w:p>
    <w:p w:rsidR="00BE7450" w:rsidRDefault="00BE7450" w:rsidP="00C210CA">
      <w:pPr>
        <w:spacing w:line="240" w:lineRule="auto"/>
        <w:rPr>
          <w:rFonts w:cstheme="minorHAnsi"/>
          <w:b/>
        </w:rPr>
      </w:pPr>
    </w:p>
    <w:p w:rsidR="00BE7450" w:rsidRDefault="00BE7450">
      <w:pPr>
        <w:rPr>
          <w:rFonts w:cstheme="minorHAnsi"/>
          <w:b/>
        </w:rPr>
      </w:pPr>
      <w:r>
        <w:rPr>
          <w:rFonts w:cstheme="minorHAnsi"/>
          <w:b/>
        </w:rPr>
        <w:br w:type="page"/>
      </w:r>
    </w:p>
    <w:p w:rsidR="003F7C41" w:rsidRPr="008017BB" w:rsidRDefault="003F7C41" w:rsidP="00C210CA">
      <w:pPr>
        <w:spacing w:line="240" w:lineRule="auto"/>
        <w:rPr>
          <w:rFonts w:cstheme="minorHAnsi"/>
        </w:rPr>
        <w:sectPr w:rsidR="003F7C41" w:rsidRPr="008017BB" w:rsidSect="005851C7">
          <w:headerReference w:type="even" r:id="rId13"/>
          <w:headerReference w:type="default" r:id="rId14"/>
          <w:footerReference w:type="even" r:id="rId15"/>
          <w:footerReference w:type="default" r:id="rId16"/>
          <w:headerReference w:type="first" r:id="rId17"/>
          <w:footerReference w:type="first" r:id="rId18"/>
          <w:pgSz w:w="12240" w:h="15840"/>
          <w:pgMar w:top="1120" w:right="1320" w:bottom="1200" w:left="1340" w:header="0" w:footer="576" w:gutter="0"/>
          <w:pgNumType w:start="0"/>
          <w:cols w:space="720"/>
          <w:titlePg/>
          <w:docGrid w:linePitch="299"/>
        </w:sectPr>
      </w:pPr>
    </w:p>
    <w:p w:rsidR="00E703CE" w:rsidRDefault="00C76EA9" w:rsidP="00B65274">
      <w:pPr>
        <w:spacing w:line="240" w:lineRule="auto"/>
        <w:jc w:val="both"/>
        <w:rPr>
          <w:rStyle w:val="IntenseEmphasis"/>
          <w:rFonts w:cstheme="minorHAnsi"/>
        </w:rPr>
      </w:pPr>
      <w:r w:rsidRPr="00880159">
        <w:rPr>
          <w:rStyle w:val="IntenseEmphasis"/>
          <w:rFonts w:cstheme="minorHAnsi"/>
        </w:rPr>
        <w:lastRenderedPageBreak/>
        <w:t xml:space="preserve">OSIEA’s PLACE IN THE FIELD </w:t>
      </w:r>
    </w:p>
    <w:p w:rsidR="00C76EA9" w:rsidRPr="00880159" w:rsidRDefault="00D60D7F" w:rsidP="00B65274">
      <w:pPr>
        <w:spacing w:line="240" w:lineRule="auto"/>
        <w:jc w:val="both"/>
        <w:rPr>
          <w:rStyle w:val="IntenseEmphasis"/>
          <w:rFonts w:cstheme="minorHAnsi"/>
          <w:b w:val="0"/>
          <w:bCs w:val="0"/>
          <w:i w:val="0"/>
          <w:iCs w:val="0"/>
          <w:color w:val="FF0000"/>
        </w:rPr>
      </w:pPr>
      <w:r>
        <w:rPr>
          <w:rStyle w:val="IntenseEmphasis"/>
          <w:rFonts w:cstheme="minorHAnsi"/>
        </w:rPr>
        <w:pict>
          <v:rect id="_x0000_i1033" style="width:0;height:1.5pt" o:hralign="center" o:hrstd="t" o:hr="t" fillcolor="#a0a0a0" stroked="f"/>
        </w:pict>
      </w:r>
    </w:p>
    <w:p w:rsidR="0016532D" w:rsidRDefault="00C76EA9" w:rsidP="00B65274">
      <w:pPr>
        <w:spacing w:line="240" w:lineRule="auto"/>
        <w:jc w:val="both"/>
        <w:rPr>
          <w:rFonts w:cstheme="minorHAnsi"/>
        </w:rPr>
      </w:pPr>
      <w:r w:rsidRPr="00880159">
        <w:rPr>
          <w:rFonts w:cstheme="minorHAnsi"/>
        </w:rPr>
        <w:t>First, its vision, mission and strategic focus remain relevant to the region; which overall is plagued by a visible deficit of</w:t>
      </w:r>
      <w:r w:rsidR="00C94D65">
        <w:rPr>
          <w:rFonts w:cstheme="minorHAnsi"/>
        </w:rPr>
        <w:t xml:space="preserve"> </w:t>
      </w:r>
      <w:r w:rsidRPr="00880159">
        <w:rPr>
          <w:rFonts w:cstheme="minorHAnsi"/>
        </w:rPr>
        <w:t>open society values. Second, OSIEA’s primary approach of amplifying local voices, especially those of the marginalized, means that it is solidifying its values in different spaces and ensuring that very limited resources go a long way to facilitate change. Third, because OSIEA has no fixed conception of change, it is able to work on a multiplicity of issues with a diversity of actors; thus enabling it t</w:t>
      </w:r>
      <w:r w:rsidR="00C94D65">
        <w:rPr>
          <w:rFonts w:cstheme="minorHAnsi"/>
        </w:rPr>
        <w:t>o engage in spaces that would</w:t>
      </w:r>
      <w:r w:rsidRPr="00880159">
        <w:rPr>
          <w:rFonts w:cstheme="minorHAnsi"/>
        </w:rPr>
        <w:t xml:space="preserve"> traditionally be considered either risky or taboo. Fourth, OSIEA’s preference to support local knowledge and skills means that it contributes to the growth of a more robust and vibrant Eastern Africa. Fifth, OSIEA’s learning culture means that it can take risks without being careless and countenances failure without being facetious. Sixth, OSIEA’s commitment to long-term partnerships, institutional strengthening and capacity building for mid-level staff contributes meanin</w:t>
      </w:r>
      <w:r w:rsidR="00E703CE">
        <w:rPr>
          <w:rFonts w:cstheme="minorHAnsi"/>
        </w:rPr>
        <w:t>gfully to the sustainability of</w:t>
      </w:r>
      <w:r w:rsidRPr="00880159">
        <w:rPr>
          <w:rFonts w:cstheme="minorHAnsi"/>
        </w:rPr>
        <w:t xml:space="preserve"> partners. Seventh, OSIEA’s commitment to its values locates it in a position of trust and respect among its peers and partners.</w:t>
      </w:r>
    </w:p>
    <w:p w:rsidR="00A5482D" w:rsidRDefault="00A5482D">
      <w:pPr>
        <w:rPr>
          <w:rFonts w:cstheme="minorHAnsi"/>
        </w:rPr>
      </w:pPr>
      <w:r>
        <w:rPr>
          <w:rFonts w:cstheme="minorHAnsi"/>
        </w:rPr>
        <w:br w:type="page"/>
      </w:r>
      <w:bookmarkStart w:id="3" w:name="_GoBack"/>
      <w:bookmarkEnd w:id="3"/>
    </w:p>
    <w:p w:rsidR="00A5482D" w:rsidRPr="00A5482D" w:rsidRDefault="00A5482D" w:rsidP="00A5482D">
      <w:pPr>
        <w:jc w:val="center"/>
        <w:rPr>
          <w:rFonts w:ascii="Calibri" w:eastAsia="Calibri" w:hAnsi="Calibri" w:cs="Times New Roman"/>
          <w:b/>
          <w:sz w:val="32"/>
        </w:rPr>
      </w:pPr>
      <w:r w:rsidRPr="00A5482D">
        <w:rPr>
          <w:rFonts w:ascii="Calibri" w:eastAsia="Calibri" w:hAnsi="Calibri" w:cs="Times New Roman"/>
          <w:b/>
          <w:sz w:val="36"/>
        </w:rPr>
        <w:lastRenderedPageBreak/>
        <w:t>ANALYSIS OF OSIEA &amp; OSF NETWORK PROGRAM (NWP) SUPPORT IN EASTERN AFRICA IN 2015</w:t>
      </w:r>
      <w:r w:rsidR="00D60D7F">
        <w:rPr>
          <w:rFonts w:ascii="Calibri" w:eastAsia="Calibri" w:hAnsi="Calibri" w:cs="Times New Roman"/>
          <w:b/>
          <w:sz w:val="32"/>
        </w:rPr>
        <w:pict>
          <v:rect id="_x0000_i1034" style="width:0;height:1.5pt" o:hralign="center" o:hrstd="t" o:hr="t" fillcolor="#a0a0a0" stroked="f"/>
        </w:pict>
      </w:r>
    </w:p>
    <w:p w:rsidR="00A5482D" w:rsidRPr="00A5482D" w:rsidRDefault="00A5482D" w:rsidP="00A5482D">
      <w:pPr>
        <w:jc w:val="center"/>
        <w:rPr>
          <w:rFonts w:ascii="Calibri" w:eastAsia="Calibri" w:hAnsi="Calibri" w:cs="Times New Roman"/>
          <w:b/>
          <w:sz w:val="32"/>
        </w:rPr>
      </w:pPr>
      <w:r w:rsidRPr="00A5482D">
        <w:rPr>
          <w:rFonts w:ascii="Calibri" w:eastAsia="Calibri" w:hAnsi="Calibri" w:cs="Times New Roman"/>
          <w:noProof/>
        </w:rPr>
        <w:drawing>
          <wp:anchor distT="0" distB="0" distL="114300" distR="114300" simplePos="0" relativeHeight="251662336" behindDoc="0" locked="0" layoutInCell="1" allowOverlap="1" wp14:anchorId="5C6EAF42" wp14:editId="1D4654F0">
            <wp:simplePos x="0" y="0"/>
            <wp:positionH relativeFrom="margin">
              <wp:posOffset>228600</wp:posOffset>
            </wp:positionH>
            <wp:positionV relativeFrom="margin">
              <wp:posOffset>4590415</wp:posOffset>
            </wp:positionV>
            <wp:extent cx="5886450" cy="3248025"/>
            <wp:effectExtent l="0" t="0" r="0" b="0"/>
            <wp:wrapSquare wrapText="bothSides"/>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r w:rsidRPr="00A5482D">
        <w:rPr>
          <w:rFonts w:ascii="Calibri" w:eastAsia="Calibri" w:hAnsi="Calibri" w:cs="Times New Roman"/>
          <w:b/>
          <w:noProof/>
          <w:sz w:val="32"/>
        </w:rPr>
        <mc:AlternateContent>
          <mc:Choice Requires="wps">
            <w:drawing>
              <wp:anchor distT="0" distB="0" distL="114300" distR="114300" simplePos="0" relativeHeight="251660288" behindDoc="0" locked="0" layoutInCell="1" allowOverlap="1" wp14:anchorId="42C0486E" wp14:editId="65A7746F">
                <wp:simplePos x="0" y="0"/>
                <wp:positionH relativeFrom="column">
                  <wp:posOffset>228600</wp:posOffset>
                </wp:positionH>
                <wp:positionV relativeFrom="paragraph">
                  <wp:posOffset>2460625</wp:posOffset>
                </wp:positionV>
                <wp:extent cx="1781175" cy="314325"/>
                <wp:effectExtent l="0" t="0" r="9525" b="952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314325"/>
                        </a:xfrm>
                        <a:prstGeom prst="rect">
                          <a:avLst/>
                        </a:prstGeom>
                        <a:solidFill>
                          <a:srgbClr val="FFFFFF"/>
                        </a:solidFill>
                        <a:ln w="9525">
                          <a:noFill/>
                          <a:miter lim="800000"/>
                          <a:headEnd/>
                          <a:tailEnd/>
                        </a:ln>
                      </wps:spPr>
                      <wps:txbx>
                        <w:txbxContent>
                          <w:p w:rsidR="00A5482D" w:rsidRPr="008D3B01" w:rsidRDefault="00A5482D" w:rsidP="00A5482D">
                            <w:pPr>
                              <w:jc w:val="center"/>
                              <w:rPr>
                                <w:b/>
                                <w:sz w:val="24"/>
                              </w:rPr>
                            </w:pPr>
                            <w:r w:rsidRPr="008D3B01">
                              <w:rPr>
                                <w:b/>
                                <w:sz w:val="24"/>
                              </w:rPr>
                              <w:t>TOTAL: $</w:t>
                            </w:r>
                            <w:r w:rsidRPr="00D34B6B">
                              <w:rPr>
                                <w:b/>
                                <w:sz w:val="24"/>
                              </w:rPr>
                              <w:t>19</w:t>
                            </w:r>
                            <w:r>
                              <w:rPr>
                                <w:b/>
                                <w:sz w:val="24"/>
                              </w:rPr>
                              <w:t>,</w:t>
                            </w:r>
                            <w:r w:rsidRPr="00D34B6B">
                              <w:rPr>
                                <w:b/>
                                <w:sz w:val="24"/>
                              </w:rPr>
                              <w:t>384</w:t>
                            </w:r>
                            <w:r>
                              <w:rPr>
                                <w:b/>
                                <w:sz w:val="24"/>
                              </w:rPr>
                              <w:t>,</w:t>
                            </w:r>
                            <w:r w:rsidRPr="00D34B6B">
                              <w:rPr>
                                <w:b/>
                                <w:sz w:val="24"/>
                              </w:rPr>
                              <w:t>810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pt;margin-top:193.75pt;width:140.2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" stroked="f">
                <v:textbox>
                  <w:txbxContent>
                    <w:p w:rsidR="00A5482D" w:rsidRPr="008D3B01" w:rsidRDefault="00A5482D" w:rsidP="00A5482D">
                      <w:pPr>
                        <w:jc w:val="center"/>
                        <w:rPr>
                          <w:b/>
                          <w:sz w:val="24"/>
                        </w:rPr>
                      </w:pPr>
                      <w:r w:rsidRPr="008D3B01">
                        <w:rPr>
                          <w:b/>
                          <w:sz w:val="24"/>
                        </w:rPr>
                        <w:t>TOTAL: $</w:t>
                      </w:r>
                      <w:r w:rsidRPr="00D34B6B">
                        <w:rPr>
                          <w:b/>
                          <w:sz w:val="24"/>
                        </w:rPr>
                        <w:t>19</w:t>
                      </w:r>
                      <w:r>
                        <w:rPr>
                          <w:b/>
                          <w:sz w:val="24"/>
                        </w:rPr>
                        <w:t>,</w:t>
                      </w:r>
                      <w:r w:rsidRPr="00D34B6B">
                        <w:rPr>
                          <w:b/>
                          <w:sz w:val="24"/>
                        </w:rPr>
                        <w:t>384</w:t>
                      </w:r>
                      <w:r>
                        <w:rPr>
                          <w:b/>
                          <w:sz w:val="24"/>
                        </w:rPr>
                        <w:t>,</w:t>
                      </w:r>
                      <w:r w:rsidRPr="00D34B6B">
                        <w:rPr>
                          <w:b/>
                          <w:sz w:val="24"/>
                        </w:rPr>
                        <w:t>810</w:t>
                      </w:r>
                    </w:p>
                  </w:txbxContent>
                </v:textbox>
              </v:shape>
            </w:pict>
          </mc:Fallback>
        </mc:AlternateContent>
      </w:r>
      <w:r w:rsidRPr="00A5482D">
        <w:rPr>
          <w:rFonts w:ascii="Calibri" w:eastAsia="Calibri" w:hAnsi="Calibri" w:cs="Times New Roman"/>
          <w:noProof/>
        </w:rPr>
        <w:drawing>
          <wp:inline distT="0" distB="0" distL="0" distR="0" wp14:anchorId="642AA34F" wp14:editId="52C7F77F">
            <wp:extent cx="5886450" cy="3114675"/>
            <wp:effectExtent l="0" t="0" r="0"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5482D" w:rsidRPr="00A5482D" w:rsidRDefault="00A5482D" w:rsidP="00A5482D">
      <w:pPr>
        <w:spacing w:after="0"/>
        <w:jc w:val="center"/>
        <w:rPr>
          <w:rFonts w:ascii="Calibri" w:eastAsia="Calibri" w:hAnsi="Calibri" w:cs="Times New Roman"/>
          <w:b/>
          <w:sz w:val="32"/>
        </w:rPr>
      </w:pPr>
    </w:p>
    <w:p w:rsidR="00A5482D" w:rsidRDefault="00A5482D" w:rsidP="00A5482D">
      <w:pPr>
        <w:rPr>
          <w:rFonts w:ascii="Calibri" w:eastAsia="Calibri" w:hAnsi="Calibri" w:cs="Times New Roman"/>
          <w:b/>
          <w:sz w:val="32"/>
        </w:rPr>
      </w:pPr>
      <w:r>
        <w:rPr>
          <w:noProof/>
        </w:rPr>
        <w:lastRenderedPageBreak/>
        <w:drawing>
          <wp:inline distT="0" distB="0" distL="0" distR="0" wp14:anchorId="2885775C" wp14:editId="2340C084">
            <wp:extent cx="6010275" cy="3419475"/>
            <wp:effectExtent l="0" t="0" r="0" b="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A5482D" w:rsidRPr="00A5482D" w:rsidRDefault="00A5482D" w:rsidP="00A5482D">
      <w:pPr>
        <w:rPr>
          <w:rFonts w:ascii="Calibri" w:eastAsia="Calibri" w:hAnsi="Calibri" w:cs="Times New Roman"/>
          <w:b/>
          <w:sz w:val="32"/>
        </w:rPr>
      </w:pPr>
      <w:r>
        <w:rPr>
          <w:noProof/>
        </w:rPr>
        <w:drawing>
          <wp:inline distT="0" distB="0" distL="0" distR="0" wp14:anchorId="45014E23" wp14:editId="5E1F6D94">
            <wp:extent cx="6200775" cy="4495800"/>
            <wp:effectExtent l="0" t="0" r="0" b="1905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A5482D" w:rsidRDefault="0025460E" w:rsidP="00B65274">
      <w:pPr>
        <w:spacing w:line="240" w:lineRule="auto"/>
        <w:jc w:val="both"/>
        <w:rPr>
          <w:rFonts w:cstheme="minorHAnsi"/>
        </w:rPr>
      </w:pPr>
      <w:r>
        <w:rPr>
          <w:noProof/>
        </w:rPr>
        <w:lastRenderedPageBreak/>
        <w:drawing>
          <wp:inline distT="0" distB="0" distL="0" distR="0" wp14:anchorId="1F1BD397" wp14:editId="09910E71">
            <wp:extent cx="6172200" cy="35814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BC4476" w:rsidRDefault="00BC4476" w:rsidP="00B65274">
      <w:pPr>
        <w:spacing w:line="240" w:lineRule="auto"/>
        <w:jc w:val="both"/>
        <w:rPr>
          <w:rFonts w:cstheme="minorHAnsi"/>
        </w:rPr>
      </w:pPr>
    </w:p>
    <w:p w:rsidR="00BC4476" w:rsidRDefault="00BC4476" w:rsidP="00B65274">
      <w:pPr>
        <w:spacing w:line="240" w:lineRule="auto"/>
        <w:jc w:val="both"/>
        <w:rPr>
          <w:rFonts w:cstheme="minorHAnsi"/>
        </w:rPr>
      </w:pPr>
      <w:r>
        <w:rPr>
          <w:noProof/>
        </w:rPr>
        <w:drawing>
          <wp:inline distT="0" distB="0" distL="0" distR="0" wp14:anchorId="26131CAA" wp14:editId="463F649F">
            <wp:extent cx="5943600" cy="3876675"/>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BC4476" w:rsidRDefault="00073BDF" w:rsidP="00B65274">
      <w:pPr>
        <w:spacing w:line="240" w:lineRule="auto"/>
        <w:jc w:val="both"/>
        <w:rPr>
          <w:rFonts w:cstheme="minorHAnsi"/>
        </w:rPr>
      </w:pPr>
      <w:r>
        <w:rPr>
          <w:noProof/>
        </w:rPr>
        <w:lastRenderedPageBreak/>
        <w:drawing>
          <wp:anchor distT="0" distB="0" distL="114300" distR="114300" simplePos="0" relativeHeight="251664384" behindDoc="0" locked="0" layoutInCell="1" allowOverlap="1" wp14:anchorId="5A6D69B5" wp14:editId="327D32F9">
            <wp:simplePos x="0" y="0"/>
            <wp:positionH relativeFrom="margin">
              <wp:posOffset>-180975</wp:posOffset>
            </wp:positionH>
            <wp:positionV relativeFrom="margin">
              <wp:posOffset>-180975</wp:posOffset>
            </wp:positionV>
            <wp:extent cx="6257925" cy="3609975"/>
            <wp:effectExtent l="0" t="0" r="0" b="0"/>
            <wp:wrapSquare wrapText="bothSides"/>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14:sizeRelH relativeFrom="margin">
              <wp14:pctWidth>0</wp14:pctWidth>
            </wp14:sizeRelH>
          </wp:anchor>
        </w:drawing>
      </w:r>
      <w:r>
        <w:rPr>
          <w:noProof/>
        </w:rPr>
        <w:drawing>
          <wp:inline distT="0" distB="0" distL="0" distR="0" wp14:anchorId="4683B0E4" wp14:editId="4525E921">
            <wp:extent cx="6143625" cy="4695825"/>
            <wp:effectExtent l="0" t="0" r="9525"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073BDF" w:rsidRPr="00073BDF" w:rsidRDefault="00073BDF" w:rsidP="00073BDF">
      <w:pPr>
        <w:ind w:firstLine="720"/>
        <w:jc w:val="center"/>
        <w:rPr>
          <w:rFonts w:ascii="Calibri" w:eastAsia="Calibri" w:hAnsi="Calibri" w:cs="Times New Roman"/>
          <w:b/>
          <w:sz w:val="3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rgbClr w14:val="F79646">
                    <w14:shade w14:val="20000"/>
                    <w14:satMod w14:val="200000"/>
                  </w14:srgbClr>
                </w14:gs>
                <w14:gs w14:pos="78000">
                  <w14:srgbClr w14:val="F79646">
                    <w14:tint w14:val="90000"/>
                    <w14:shade w14:val="89000"/>
                    <w14:satMod w14:val="220000"/>
                  </w14:srgbClr>
                </w14:gs>
                <w14:gs w14:pos="100000">
                  <w14:srgbClr w14:val="F79646">
                    <w14:tint w14:val="12000"/>
                    <w14:satMod w14:val="255000"/>
                  </w14:srgbClr>
                </w14:gs>
              </w14:gsLst>
              <w14:lin w14:ang="5400000" w14:scaled="0"/>
            </w14:gradFill>
          </w14:textFill>
        </w:rPr>
      </w:pPr>
      <w:r w:rsidRPr="00073BDF">
        <w:rPr>
          <w:rFonts w:ascii="Calibri" w:eastAsia="Times New Roman" w:hAnsi="Calibri" w:cs="Times New Roman"/>
          <w:b/>
          <w:bCs/>
          <w:color w:val="000000"/>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rgbClr w14:val="F79646">
                    <w14:shade w14:val="20000"/>
                    <w14:satMod w14:val="200000"/>
                  </w14:srgbClr>
                </w14:gs>
                <w14:gs w14:pos="78000">
                  <w14:srgbClr w14:val="F79646">
                    <w14:tint w14:val="90000"/>
                    <w14:shade w14:val="89000"/>
                    <w14:satMod w14:val="220000"/>
                  </w14:srgbClr>
                </w14:gs>
                <w14:gs w14:pos="100000">
                  <w14:srgbClr w14:val="F79646">
                    <w14:tint w14:val="12000"/>
                    <w14:satMod w14:val="255000"/>
                  </w14:srgbClr>
                </w14:gs>
              </w14:gsLst>
              <w14:lin w14:ang="5400000" w14:scaled="0"/>
            </w14:gradFill>
          </w14:textFill>
        </w:rPr>
        <w:lastRenderedPageBreak/>
        <w:t>Grants 3-year trend analysis</w:t>
      </w:r>
    </w:p>
    <w:tbl>
      <w:tblPr>
        <w:tblW w:w="7992" w:type="dxa"/>
        <w:tblInd w:w="468" w:type="dxa"/>
        <w:tblLook w:val="04A0" w:firstRow="1" w:lastRow="0" w:firstColumn="1" w:lastColumn="0" w:noHBand="0" w:noVBand="1"/>
      </w:tblPr>
      <w:tblGrid>
        <w:gridCol w:w="3042"/>
        <w:gridCol w:w="1710"/>
        <w:gridCol w:w="1620"/>
        <w:gridCol w:w="1620"/>
      </w:tblGrid>
      <w:tr w:rsidR="00B212F6" w:rsidRPr="00073BDF" w:rsidTr="00B212F6">
        <w:trPr>
          <w:trHeight w:val="300"/>
        </w:trPr>
        <w:tc>
          <w:tcPr>
            <w:tcW w:w="3042" w:type="dxa"/>
            <w:tcBorders>
              <w:top w:val="nil"/>
              <w:left w:val="nil"/>
              <w:bottom w:val="single" w:sz="4" w:space="0" w:color="auto"/>
              <w:right w:val="single" w:sz="4" w:space="0" w:color="auto"/>
            </w:tcBorders>
            <w:shd w:val="clear" w:color="auto" w:fill="auto"/>
            <w:vAlign w:val="center"/>
            <w:hideMark/>
          </w:tcPr>
          <w:p w:rsidR="00B212F6" w:rsidRPr="00073BDF" w:rsidRDefault="00B212F6" w:rsidP="00073BDF">
            <w:pPr>
              <w:spacing w:after="0" w:line="240" w:lineRule="auto"/>
              <w:rPr>
                <w:rFonts w:ascii="Calibri" w:eastAsia="Times New Roman" w:hAnsi="Calibri" w:cs="Times New Roman"/>
                <w:b/>
                <w:bCs/>
                <w:color w:val="000000"/>
              </w:rPr>
            </w:pPr>
            <w:r w:rsidRPr="00073BDF">
              <w:rPr>
                <w:rFonts w:ascii="Calibri" w:eastAsia="Times New Roman" w:hAnsi="Calibri" w:cs="Times New Roman"/>
                <w:b/>
                <w:bCs/>
                <w:color w:val="000000"/>
              </w:rPr>
              <w:t> </w:t>
            </w:r>
          </w:p>
        </w:tc>
        <w:tc>
          <w:tcPr>
            <w:tcW w:w="1710" w:type="dxa"/>
            <w:tcBorders>
              <w:top w:val="single" w:sz="4" w:space="0" w:color="auto"/>
              <w:left w:val="nil"/>
              <w:bottom w:val="single" w:sz="4" w:space="0" w:color="auto"/>
              <w:right w:val="single" w:sz="4" w:space="0" w:color="auto"/>
            </w:tcBorders>
            <w:shd w:val="clear" w:color="000000" w:fill="C0C0C0"/>
            <w:vAlign w:val="center"/>
            <w:hideMark/>
          </w:tcPr>
          <w:p w:rsidR="00B212F6" w:rsidRPr="00073BDF" w:rsidRDefault="00B212F6" w:rsidP="00073BDF">
            <w:pPr>
              <w:spacing w:after="0" w:line="240" w:lineRule="auto"/>
              <w:jc w:val="right"/>
              <w:rPr>
                <w:rFonts w:ascii="Calibri" w:eastAsia="Times New Roman" w:hAnsi="Calibri" w:cs="Times New Roman"/>
                <w:b/>
                <w:bCs/>
                <w:color w:val="000000"/>
              </w:rPr>
            </w:pPr>
            <w:r w:rsidRPr="00073BDF">
              <w:rPr>
                <w:rFonts w:ascii="Calibri" w:eastAsia="Times New Roman" w:hAnsi="Calibri" w:cs="Times New Roman"/>
                <w:b/>
                <w:bCs/>
                <w:color w:val="000000"/>
              </w:rPr>
              <w:t>2015</w:t>
            </w:r>
          </w:p>
        </w:tc>
        <w:tc>
          <w:tcPr>
            <w:tcW w:w="1620" w:type="dxa"/>
            <w:tcBorders>
              <w:top w:val="single" w:sz="4" w:space="0" w:color="auto"/>
              <w:left w:val="nil"/>
              <w:bottom w:val="single" w:sz="4" w:space="0" w:color="auto"/>
              <w:right w:val="single" w:sz="4" w:space="0" w:color="auto"/>
            </w:tcBorders>
            <w:shd w:val="clear" w:color="000000" w:fill="C0C0C0"/>
            <w:vAlign w:val="center"/>
            <w:hideMark/>
          </w:tcPr>
          <w:p w:rsidR="00B212F6" w:rsidRPr="00073BDF" w:rsidRDefault="00B212F6" w:rsidP="00073BDF">
            <w:pPr>
              <w:spacing w:after="0" w:line="240" w:lineRule="auto"/>
              <w:jc w:val="right"/>
              <w:rPr>
                <w:rFonts w:ascii="Calibri" w:eastAsia="Times New Roman" w:hAnsi="Calibri" w:cs="Times New Roman"/>
                <w:b/>
                <w:bCs/>
                <w:color w:val="000000"/>
              </w:rPr>
            </w:pPr>
            <w:r w:rsidRPr="00073BDF">
              <w:rPr>
                <w:rFonts w:ascii="Calibri" w:eastAsia="Times New Roman" w:hAnsi="Calibri" w:cs="Times New Roman"/>
                <w:b/>
                <w:bCs/>
                <w:color w:val="000000"/>
              </w:rPr>
              <w:t>2014</w:t>
            </w:r>
          </w:p>
        </w:tc>
        <w:tc>
          <w:tcPr>
            <w:tcW w:w="1620" w:type="dxa"/>
            <w:tcBorders>
              <w:top w:val="single" w:sz="4" w:space="0" w:color="auto"/>
              <w:left w:val="nil"/>
              <w:bottom w:val="single" w:sz="4" w:space="0" w:color="auto"/>
              <w:right w:val="single" w:sz="4" w:space="0" w:color="auto"/>
            </w:tcBorders>
            <w:shd w:val="clear" w:color="000000" w:fill="C0C0C0"/>
            <w:vAlign w:val="center"/>
            <w:hideMark/>
          </w:tcPr>
          <w:p w:rsidR="00B212F6" w:rsidRPr="00073BDF" w:rsidRDefault="00B212F6" w:rsidP="00073BDF">
            <w:pPr>
              <w:spacing w:after="0" w:line="240" w:lineRule="auto"/>
              <w:jc w:val="right"/>
              <w:rPr>
                <w:rFonts w:ascii="Calibri" w:eastAsia="Times New Roman" w:hAnsi="Calibri" w:cs="Times New Roman"/>
                <w:b/>
                <w:bCs/>
                <w:color w:val="000000"/>
              </w:rPr>
            </w:pPr>
            <w:r w:rsidRPr="00073BDF">
              <w:rPr>
                <w:rFonts w:ascii="Calibri" w:eastAsia="Times New Roman" w:hAnsi="Calibri" w:cs="Times New Roman"/>
                <w:b/>
                <w:bCs/>
                <w:color w:val="000000"/>
              </w:rPr>
              <w:t>2013</w:t>
            </w:r>
          </w:p>
        </w:tc>
      </w:tr>
      <w:tr w:rsidR="00B212F6" w:rsidRPr="00073BDF" w:rsidTr="00B212F6">
        <w:trPr>
          <w:trHeight w:val="300"/>
        </w:trPr>
        <w:tc>
          <w:tcPr>
            <w:tcW w:w="3042" w:type="dxa"/>
            <w:tcBorders>
              <w:top w:val="single" w:sz="4" w:space="0" w:color="auto"/>
              <w:left w:val="single" w:sz="4" w:space="0" w:color="auto"/>
              <w:bottom w:val="nil"/>
              <w:right w:val="single" w:sz="4" w:space="0" w:color="auto"/>
            </w:tcBorders>
            <w:shd w:val="clear" w:color="000000" w:fill="C0C0C0"/>
            <w:vAlign w:val="center"/>
            <w:hideMark/>
          </w:tcPr>
          <w:p w:rsidR="00B212F6" w:rsidRPr="00073BDF" w:rsidRDefault="00B212F6" w:rsidP="00073BDF">
            <w:pPr>
              <w:spacing w:after="0" w:line="240" w:lineRule="auto"/>
              <w:rPr>
                <w:rFonts w:ascii="Calibri" w:eastAsia="Times New Roman" w:hAnsi="Calibri" w:cs="Times New Roman"/>
                <w:b/>
                <w:bCs/>
                <w:color w:val="000000"/>
              </w:rPr>
            </w:pPr>
            <w:r w:rsidRPr="00073BDF">
              <w:rPr>
                <w:rFonts w:ascii="Calibri" w:eastAsia="Times New Roman" w:hAnsi="Calibri" w:cs="Times New Roman"/>
                <w:b/>
                <w:bCs/>
                <w:color w:val="000000"/>
              </w:rPr>
              <w:t>AMOUNTS (US$</w:t>
            </w:r>
          </w:p>
        </w:tc>
        <w:tc>
          <w:tcPr>
            <w:tcW w:w="1710" w:type="dxa"/>
            <w:tcBorders>
              <w:top w:val="nil"/>
              <w:left w:val="nil"/>
              <w:bottom w:val="single" w:sz="4" w:space="0" w:color="auto"/>
              <w:right w:val="single" w:sz="4" w:space="0" w:color="auto"/>
            </w:tcBorders>
            <w:shd w:val="clear" w:color="000000" w:fill="C0C0C0"/>
            <w:vAlign w:val="center"/>
            <w:hideMark/>
          </w:tcPr>
          <w:p w:rsidR="00B212F6" w:rsidRPr="00073BDF" w:rsidRDefault="00B212F6" w:rsidP="00073BDF">
            <w:pPr>
              <w:spacing w:after="0" w:line="240" w:lineRule="auto"/>
              <w:jc w:val="right"/>
              <w:rPr>
                <w:rFonts w:ascii="Calibri" w:eastAsia="Times New Roman" w:hAnsi="Calibri" w:cs="Times New Roman"/>
                <w:b/>
                <w:bCs/>
                <w:color w:val="000000"/>
              </w:rPr>
            </w:pPr>
            <w:r w:rsidRPr="00073BDF">
              <w:rPr>
                <w:rFonts w:ascii="Calibri" w:eastAsia="Times New Roman" w:hAnsi="Calibri" w:cs="Times New Roman"/>
                <w:b/>
                <w:bCs/>
                <w:color w:val="000000"/>
              </w:rPr>
              <w:t>US$</w:t>
            </w:r>
          </w:p>
        </w:tc>
        <w:tc>
          <w:tcPr>
            <w:tcW w:w="1620" w:type="dxa"/>
            <w:tcBorders>
              <w:top w:val="nil"/>
              <w:left w:val="nil"/>
              <w:bottom w:val="single" w:sz="4" w:space="0" w:color="auto"/>
              <w:right w:val="single" w:sz="4" w:space="0" w:color="auto"/>
            </w:tcBorders>
            <w:shd w:val="clear" w:color="000000" w:fill="C0C0C0"/>
            <w:vAlign w:val="center"/>
            <w:hideMark/>
          </w:tcPr>
          <w:p w:rsidR="00B212F6" w:rsidRPr="00073BDF" w:rsidRDefault="00B212F6" w:rsidP="00073BDF">
            <w:pPr>
              <w:spacing w:after="0" w:line="240" w:lineRule="auto"/>
              <w:jc w:val="right"/>
              <w:rPr>
                <w:rFonts w:ascii="Calibri" w:eastAsia="Times New Roman" w:hAnsi="Calibri" w:cs="Times New Roman"/>
                <w:b/>
                <w:bCs/>
                <w:color w:val="000000"/>
              </w:rPr>
            </w:pPr>
            <w:r w:rsidRPr="00073BDF">
              <w:rPr>
                <w:rFonts w:ascii="Calibri" w:eastAsia="Times New Roman" w:hAnsi="Calibri" w:cs="Times New Roman"/>
                <w:b/>
                <w:bCs/>
                <w:color w:val="000000"/>
              </w:rPr>
              <w:t>US$</w:t>
            </w:r>
          </w:p>
        </w:tc>
        <w:tc>
          <w:tcPr>
            <w:tcW w:w="1620" w:type="dxa"/>
            <w:tcBorders>
              <w:top w:val="nil"/>
              <w:left w:val="nil"/>
              <w:bottom w:val="single" w:sz="4" w:space="0" w:color="auto"/>
              <w:right w:val="single" w:sz="4" w:space="0" w:color="auto"/>
            </w:tcBorders>
            <w:shd w:val="clear" w:color="000000" w:fill="C0C0C0"/>
            <w:vAlign w:val="center"/>
            <w:hideMark/>
          </w:tcPr>
          <w:p w:rsidR="00B212F6" w:rsidRPr="00073BDF" w:rsidRDefault="00B212F6" w:rsidP="00073BDF">
            <w:pPr>
              <w:spacing w:after="0" w:line="240" w:lineRule="auto"/>
              <w:jc w:val="right"/>
              <w:rPr>
                <w:rFonts w:ascii="Calibri" w:eastAsia="Times New Roman" w:hAnsi="Calibri" w:cs="Times New Roman"/>
                <w:b/>
                <w:bCs/>
                <w:color w:val="000000"/>
              </w:rPr>
            </w:pPr>
            <w:r w:rsidRPr="00073BDF">
              <w:rPr>
                <w:rFonts w:ascii="Calibri" w:eastAsia="Times New Roman" w:hAnsi="Calibri" w:cs="Times New Roman"/>
                <w:b/>
                <w:bCs/>
                <w:color w:val="000000"/>
              </w:rPr>
              <w:t xml:space="preserve">US$ </w:t>
            </w:r>
          </w:p>
        </w:tc>
      </w:tr>
      <w:tr w:rsidR="00B212F6" w:rsidRPr="00073BDF" w:rsidTr="00B212F6">
        <w:trPr>
          <w:trHeight w:val="300"/>
        </w:trPr>
        <w:tc>
          <w:tcPr>
            <w:tcW w:w="30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rPr>
                <w:rFonts w:ascii="Calibri" w:eastAsia="Times New Roman" w:hAnsi="Calibri" w:cs="Times New Roman"/>
                <w:color w:val="000000"/>
              </w:rPr>
            </w:pPr>
            <w:r w:rsidRPr="00073BDF">
              <w:rPr>
                <w:rFonts w:ascii="Calibri" w:eastAsia="Times New Roman" w:hAnsi="Calibri" w:cs="Times New Roman"/>
                <w:color w:val="000000"/>
              </w:rPr>
              <w:t>Board approved grants</w:t>
            </w:r>
          </w:p>
        </w:tc>
        <w:tc>
          <w:tcPr>
            <w:tcW w:w="1710" w:type="dxa"/>
            <w:tcBorders>
              <w:top w:val="nil"/>
              <w:left w:val="nil"/>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jc w:val="right"/>
              <w:rPr>
                <w:rFonts w:ascii="Calibri" w:eastAsia="Times New Roman" w:hAnsi="Calibri" w:cs="Times New Roman"/>
                <w:color w:val="000000"/>
              </w:rPr>
            </w:pPr>
            <w:r w:rsidRPr="00073BDF">
              <w:rPr>
                <w:rFonts w:ascii="Calibri" w:eastAsia="Times New Roman" w:hAnsi="Calibri" w:cs="Times New Roman"/>
                <w:color w:val="000000"/>
              </w:rPr>
              <w:t>9,033,296</w:t>
            </w:r>
          </w:p>
        </w:tc>
        <w:tc>
          <w:tcPr>
            <w:tcW w:w="1620" w:type="dxa"/>
            <w:tcBorders>
              <w:top w:val="nil"/>
              <w:left w:val="nil"/>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jc w:val="right"/>
              <w:rPr>
                <w:rFonts w:ascii="Calibri" w:eastAsia="Times New Roman" w:hAnsi="Calibri" w:cs="Times New Roman"/>
                <w:color w:val="000000"/>
              </w:rPr>
            </w:pPr>
            <w:r w:rsidRPr="00073BDF">
              <w:rPr>
                <w:rFonts w:ascii="Calibri" w:eastAsia="Times New Roman" w:hAnsi="Calibri" w:cs="Times New Roman"/>
                <w:color w:val="000000"/>
              </w:rPr>
              <w:t>5,628,629</w:t>
            </w:r>
          </w:p>
        </w:tc>
        <w:tc>
          <w:tcPr>
            <w:tcW w:w="1620" w:type="dxa"/>
            <w:tcBorders>
              <w:top w:val="nil"/>
              <w:left w:val="nil"/>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jc w:val="right"/>
              <w:rPr>
                <w:rFonts w:ascii="Calibri" w:eastAsia="Times New Roman" w:hAnsi="Calibri" w:cs="Times New Roman"/>
                <w:color w:val="000000"/>
              </w:rPr>
            </w:pPr>
            <w:r w:rsidRPr="00073BDF">
              <w:rPr>
                <w:rFonts w:ascii="Calibri" w:eastAsia="Times New Roman" w:hAnsi="Calibri" w:cs="Times New Roman"/>
                <w:color w:val="000000"/>
              </w:rPr>
              <w:t>7,351,300</w:t>
            </w:r>
          </w:p>
        </w:tc>
      </w:tr>
      <w:tr w:rsidR="00B212F6" w:rsidRPr="00073BDF" w:rsidTr="00B212F6">
        <w:trPr>
          <w:trHeight w:val="300"/>
        </w:trPr>
        <w:tc>
          <w:tcPr>
            <w:tcW w:w="3042" w:type="dxa"/>
            <w:tcBorders>
              <w:top w:val="nil"/>
              <w:left w:val="single" w:sz="4" w:space="0" w:color="auto"/>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rPr>
                <w:rFonts w:ascii="Calibri" w:eastAsia="Times New Roman" w:hAnsi="Calibri" w:cs="Times New Roman"/>
                <w:color w:val="000000"/>
              </w:rPr>
            </w:pPr>
            <w:r w:rsidRPr="00073BDF">
              <w:rPr>
                <w:rFonts w:ascii="Calibri" w:eastAsia="Times New Roman" w:hAnsi="Calibri" w:cs="Times New Roman"/>
                <w:color w:val="000000"/>
              </w:rPr>
              <w:t>ED approved grants</w:t>
            </w:r>
          </w:p>
        </w:tc>
        <w:tc>
          <w:tcPr>
            <w:tcW w:w="1710" w:type="dxa"/>
            <w:tcBorders>
              <w:top w:val="nil"/>
              <w:left w:val="nil"/>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jc w:val="right"/>
              <w:rPr>
                <w:rFonts w:ascii="Calibri" w:eastAsia="Times New Roman" w:hAnsi="Calibri" w:cs="Times New Roman"/>
                <w:color w:val="000000"/>
              </w:rPr>
            </w:pPr>
            <w:r w:rsidRPr="00073BDF">
              <w:rPr>
                <w:rFonts w:ascii="Calibri" w:eastAsia="Times New Roman" w:hAnsi="Calibri" w:cs="Times New Roman"/>
                <w:color w:val="000000"/>
              </w:rPr>
              <w:t>1,378,871</w:t>
            </w:r>
          </w:p>
        </w:tc>
        <w:tc>
          <w:tcPr>
            <w:tcW w:w="1620" w:type="dxa"/>
            <w:tcBorders>
              <w:top w:val="nil"/>
              <w:left w:val="nil"/>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jc w:val="right"/>
              <w:rPr>
                <w:rFonts w:ascii="Calibri" w:eastAsia="Times New Roman" w:hAnsi="Calibri" w:cs="Times New Roman"/>
                <w:color w:val="000000"/>
              </w:rPr>
            </w:pPr>
            <w:r w:rsidRPr="00073BDF">
              <w:rPr>
                <w:rFonts w:ascii="Calibri" w:eastAsia="Times New Roman" w:hAnsi="Calibri" w:cs="Times New Roman"/>
                <w:color w:val="000000"/>
              </w:rPr>
              <w:t>1,700,893</w:t>
            </w:r>
          </w:p>
        </w:tc>
        <w:tc>
          <w:tcPr>
            <w:tcW w:w="1620" w:type="dxa"/>
            <w:tcBorders>
              <w:top w:val="nil"/>
              <w:left w:val="nil"/>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jc w:val="right"/>
              <w:rPr>
                <w:rFonts w:ascii="Calibri" w:eastAsia="Times New Roman" w:hAnsi="Calibri" w:cs="Times New Roman"/>
                <w:color w:val="000000"/>
              </w:rPr>
            </w:pPr>
            <w:r w:rsidRPr="00073BDF">
              <w:rPr>
                <w:rFonts w:ascii="Calibri" w:eastAsia="Times New Roman" w:hAnsi="Calibri" w:cs="Times New Roman"/>
                <w:color w:val="000000"/>
              </w:rPr>
              <w:t>1,917,533</w:t>
            </w:r>
          </w:p>
        </w:tc>
      </w:tr>
      <w:tr w:rsidR="00B212F6" w:rsidRPr="00073BDF" w:rsidTr="00B212F6">
        <w:trPr>
          <w:trHeight w:val="300"/>
        </w:trPr>
        <w:tc>
          <w:tcPr>
            <w:tcW w:w="3042" w:type="dxa"/>
            <w:tcBorders>
              <w:top w:val="nil"/>
              <w:left w:val="single" w:sz="4" w:space="0" w:color="auto"/>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rPr>
                <w:rFonts w:ascii="Calibri" w:eastAsia="Times New Roman" w:hAnsi="Calibri" w:cs="Times New Roman"/>
                <w:color w:val="000000"/>
              </w:rPr>
            </w:pPr>
            <w:r w:rsidRPr="00073BDF">
              <w:rPr>
                <w:rFonts w:ascii="Calibri" w:eastAsia="Times New Roman" w:hAnsi="Calibri" w:cs="Times New Roman"/>
                <w:color w:val="000000"/>
              </w:rPr>
              <w:t>Total OSIEA grants funding</w:t>
            </w:r>
          </w:p>
        </w:tc>
        <w:tc>
          <w:tcPr>
            <w:tcW w:w="1710" w:type="dxa"/>
            <w:tcBorders>
              <w:top w:val="nil"/>
              <w:left w:val="nil"/>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jc w:val="right"/>
              <w:rPr>
                <w:rFonts w:ascii="Calibri" w:eastAsia="Times New Roman" w:hAnsi="Calibri" w:cs="Times New Roman"/>
                <w:color w:val="000000"/>
              </w:rPr>
            </w:pPr>
            <w:r w:rsidRPr="00073BDF">
              <w:rPr>
                <w:rFonts w:ascii="Calibri" w:eastAsia="Times New Roman" w:hAnsi="Calibri" w:cs="Times New Roman"/>
                <w:color w:val="000000"/>
              </w:rPr>
              <w:t>10,412,167</w:t>
            </w:r>
          </w:p>
        </w:tc>
        <w:tc>
          <w:tcPr>
            <w:tcW w:w="1620" w:type="dxa"/>
            <w:tcBorders>
              <w:top w:val="nil"/>
              <w:left w:val="nil"/>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jc w:val="right"/>
              <w:rPr>
                <w:rFonts w:ascii="Calibri" w:eastAsia="Times New Roman" w:hAnsi="Calibri" w:cs="Times New Roman"/>
                <w:color w:val="000000"/>
              </w:rPr>
            </w:pPr>
            <w:r w:rsidRPr="00073BDF">
              <w:rPr>
                <w:rFonts w:ascii="Calibri" w:eastAsia="Times New Roman" w:hAnsi="Calibri" w:cs="Times New Roman"/>
                <w:color w:val="000000"/>
              </w:rPr>
              <w:t>7,329,522</w:t>
            </w:r>
          </w:p>
        </w:tc>
        <w:tc>
          <w:tcPr>
            <w:tcW w:w="1620" w:type="dxa"/>
            <w:tcBorders>
              <w:top w:val="nil"/>
              <w:left w:val="nil"/>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jc w:val="right"/>
              <w:rPr>
                <w:rFonts w:ascii="Calibri" w:eastAsia="Times New Roman" w:hAnsi="Calibri" w:cs="Times New Roman"/>
                <w:color w:val="000000"/>
              </w:rPr>
            </w:pPr>
            <w:r w:rsidRPr="00073BDF">
              <w:rPr>
                <w:rFonts w:ascii="Calibri" w:eastAsia="Times New Roman" w:hAnsi="Calibri" w:cs="Times New Roman"/>
                <w:color w:val="000000"/>
              </w:rPr>
              <w:t>9,268,833</w:t>
            </w:r>
          </w:p>
        </w:tc>
      </w:tr>
      <w:tr w:rsidR="00B212F6" w:rsidRPr="00073BDF" w:rsidTr="00B212F6">
        <w:trPr>
          <w:trHeight w:val="300"/>
        </w:trPr>
        <w:tc>
          <w:tcPr>
            <w:tcW w:w="3042" w:type="dxa"/>
            <w:tcBorders>
              <w:top w:val="nil"/>
              <w:left w:val="single" w:sz="4" w:space="0" w:color="auto"/>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rPr>
                <w:rFonts w:ascii="Calibri" w:eastAsia="Times New Roman" w:hAnsi="Calibri" w:cs="Times New Roman"/>
                <w:color w:val="000000"/>
              </w:rPr>
            </w:pPr>
            <w:r w:rsidRPr="00073BDF">
              <w:rPr>
                <w:rFonts w:ascii="Calibri" w:eastAsia="Times New Roman" w:hAnsi="Calibri" w:cs="Times New Roman"/>
                <w:color w:val="000000"/>
              </w:rPr>
              <w:t>Total NWP grants funding</w:t>
            </w:r>
          </w:p>
        </w:tc>
        <w:tc>
          <w:tcPr>
            <w:tcW w:w="1710" w:type="dxa"/>
            <w:tcBorders>
              <w:top w:val="nil"/>
              <w:left w:val="nil"/>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jc w:val="right"/>
              <w:rPr>
                <w:rFonts w:ascii="Calibri" w:eastAsia="Times New Roman" w:hAnsi="Calibri" w:cs="Times New Roman"/>
                <w:color w:val="000000"/>
              </w:rPr>
            </w:pPr>
            <w:r w:rsidRPr="00073BDF">
              <w:rPr>
                <w:rFonts w:ascii="Calibri" w:eastAsia="Times New Roman" w:hAnsi="Calibri" w:cs="Times New Roman"/>
                <w:color w:val="000000"/>
              </w:rPr>
              <w:t>4,993,189</w:t>
            </w:r>
          </w:p>
        </w:tc>
        <w:tc>
          <w:tcPr>
            <w:tcW w:w="1620" w:type="dxa"/>
            <w:tcBorders>
              <w:top w:val="nil"/>
              <w:left w:val="nil"/>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jc w:val="right"/>
              <w:rPr>
                <w:rFonts w:ascii="Calibri" w:eastAsia="Times New Roman" w:hAnsi="Calibri" w:cs="Times New Roman"/>
                <w:color w:val="000000"/>
              </w:rPr>
            </w:pPr>
            <w:r w:rsidRPr="00073BDF">
              <w:rPr>
                <w:rFonts w:ascii="Calibri" w:eastAsia="Times New Roman" w:hAnsi="Calibri" w:cs="Times New Roman"/>
                <w:color w:val="000000"/>
              </w:rPr>
              <w:t>3,402,325</w:t>
            </w:r>
          </w:p>
        </w:tc>
        <w:tc>
          <w:tcPr>
            <w:tcW w:w="1620" w:type="dxa"/>
            <w:tcBorders>
              <w:top w:val="nil"/>
              <w:left w:val="nil"/>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jc w:val="right"/>
              <w:rPr>
                <w:rFonts w:ascii="Calibri" w:eastAsia="Times New Roman" w:hAnsi="Calibri" w:cs="Times New Roman"/>
                <w:color w:val="000000"/>
              </w:rPr>
            </w:pPr>
            <w:r w:rsidRPr="00073BDF">
              <w:rPr>
                <w:rFonts w:ascii="Calibri" w:eastAsia="Times New Roman" w:hAnsi="Calibri" w:cs="Times New Roman"/>
                <w:color w:val="000000"/>
              </w:rPr>
              <w:t>6,608,372</w:t>
            </w:r>
          </w:p>
        </w:tc>
      </w:tr>
      <w:tr w:rsidR="00B212F6" w:rsidRPr="00073BDF" w:rsidTr="00B212F6">
        <w:trPr>
          <w:trHeight w:val="300"/>
        </w:trPr>
        <w:tc>
          <w:tcPr>
            <w:tcW w:w="3042" w:type="dxa"/>
            <w:tcBorders>
              <w:top w:val="nil"/>
              <w:left w:val="single" w:sz="4" w:space="0" w:color="auto"/>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rPr>
                <w:rFonts w:ascii="Calibri" w:eastAsia="Times New Roman" w:hAnsi="Calibri" w:cs="Times New Roman"/>
                <w:color w:val="000000"/>
              </w:rPr>
            </w:pPr>
            <w:r w:rsidRPr="00073BDF">
              <w:rPr>
                <w:rFonts w:ascii="Calibri" w:eastAsia="Times New Roman" w:hAnsi="Calibri" w:cs="Times New Roman"/>
                <w:color w:val="000000"/>
              </w:rPr>
              <w:t>Total funding (OSIEA &amp; NWP)</w:t>
            </w:r>
          </w:p>
        </w:tc>
        <w:tc>
          <w:tcPr>
            <w:tcW w:w="1710" w:type="dxa"/>
            <w:tcBorders>
              <w:top w:val="nil"/>
              <w:left w:val="nil"/>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jc w:val="right"/>
              <w:rPr>
                <w:rFonts w:ascii="Calibri" w:eastAsia="Times New Roman" w:hAnsi="Calibri" w:cs="Times New Roman"/>
                <w:color w:val="000000"/>
              </w:rPr>
            </w:pPr>
            <w:r w:rsidRPr="00073BDF">
              <w:rPr>
                <w:rFonts w:ascii="Calibri" w:eastAsia="Times New Roman" w:hAnsi="Calibri" w:cs="Times New Roman"/>
                <w:color w:val="000000"/>
              </w:rPr>
              <w:t>15,405,356</w:t>
            </w:r>
          </w:p>
        </w:tc>
        <w:tc>
          <w:tcPr>
            <w:tcW w:w="1620" w:type="dxa"/>
            <w:tcBorders>
              <w:top w:val="nil"/>
              <w:left w:val="nil"/>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jc w:val="right"/>
              <w:rPr>
                <w:rFonts w:ascii="Calibri" w:eastAsia="Times New Roman" w:hAnsi="Calibri" w:cs="Times New Roman"/>
                <w:color w:val="000000"/>
              </w:rPr>
            </w:pPr>
            <w:r w:rsidRPr="00073BDF">
              <w:rPr>
                <w:rFonts w:ascii="Calibri" w:eastAsia="Times New Roman" w:hAnsi="Calibri" w:cs="Times New Roman"/>
                <w:color w:val="000000"/>
              </w:rPr>
              <w:t>10,731,847</w:t>
            </w:r>
          </w:p>
        </w:tc>
        <w:tc>
          <w:tcPr>
            <w:tcW w:w="1620" w:type="dxa"/>
            <w:tcBorders>
              <w:top w:val="nil"/>
              <w:left w:val="nil"/>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jc w:val="right"/>
              <w:rPr>
                <w:rFonts w:ascii="Calibri" w:eastAsia="Times New Roman" w:hAnsi="Calibri" w:cs="Times New Roman"/>
                <w:color w:val="000000"/>
              </w:rPr>
            </w:pPr>
            <w:r w:rsidRPr="00073BDF">
              <w:rPr>
                <w:rFonts w:ascii="Calibri" w:eastAsia="Times New Roman" w:hAnsi="Calibri" w:cs="Times New Roman"/>
                <w:color w:val="000000"/>
              </w:rPr>
              <w:t>15,877,205</w:t>
            </w:r>
          </w:p>
        </w:tc>
      </w:tr>
      <w:tr w:rsidR="00B212F6" w:rsidRPr="00073BDF" w:rsidTr="00B212F6">
        <w:trPr>
          <w:trHeight w:val="300"/>
        </w:trPr>
        <w:tc>
          <w:tcPr>
            <w:tcW w:w="7992" w:type="dxa"/>
            <w:gridSpan w:val="4"/>
            <w:tcBorders>
              <w:top w:val="single" w:sz="4" w:space="0" w:color="auto"/>
              <w:bottom w:val="single" w:sz="4" w:space="0" w:color="auto"/>
            </w:tcBorders>
            <w:shd w:val="clear" w:color="000000" w:fill="FFFFFF"/>
            <w:noWrap/>
            <w:vAlign w:val="center"/>
            <w:hideMark/>
          </w:tcPr>
          <w:p w:rsidR="00B212F6" w:rsidRPr="00073BDF" w:rsidRDefault="00B212F6" w:rsidP="00073BDF">
            <w:pPr>
              <w:spacing w:after="0" w:line="240" w:lineRule="auto"/>
              <w:jc w:val="center"/>
              <w:rPr>
                <w:rFonts w:ascii="Calibri" w:eastAsia="Times New Roman" w:hAnsi="Calibri" w:cs="Times New Roman"/>
                <w:b/>
                <w:bCs/>
                <w:color w:val="000000"/>
              </w:rPr>
            </w:pPr>
            <w:r w:rsidRPr="00073BDF">
              <w:rPr>
                <w:rFonts w:ascii="Calibri" w:eastAsia="Times New Roman" w:hAnsi="Calibri" w:cs="Times New Roman"/>
                <w:b/>
                <w:bCs/>
                <w:color w:val="000000"/>
              </w:rPr>
              <w:t> </w:t>
            </w:r>
          </w:p>
        </w:tc>
      </w:tr>
      <w:tr w:rsidR="00B212F6" w:rsidRPr="00073BDF" w:rsidTr="00B212F6">
        <w:trPr>
          <w:trHeight w:val="300"/>
        </w:trPr>
        <w:tc>
          <w:tcPr>
            <w:tcW w:w="3042" w:type="dxa"/>
            <w:tcBorders>
              <w:top w:val="nil"/>
              <w:left w:val="single" w:sz="4" w:space="0" w:color="auto"/>
              <w:bottom w:val="single" w:sz="4" w:space="0" w:color="auto"/>
              <w:right w:val="single" w:sz="4" w:space="0" w:color="auto"/>
            </w:tcBorders>
            <w:shd w:val="clear" w:color="000000" w:fill="C0C0C0"/>
            <w:vAlign w:val="center"/>
            <w:hideMark/>
          </w:tcPr>
          <w:p w:rsidR="00B212F6" w:rsidRPr="00073BDF" w:rsidRDefault="00B212F6" w:rsidP="00073BDF">
            <w:pPr>
              <w:spacing w:after="0" w:line="240" w:lineRule="auto"/>
              <w:rPr>
                <w:rFonts w:ascii="Calibri" w:eastAsia="Times New Roman" w:hAnsi="Calibri" w:cs="Times New Roman"/>
                <w:b/>
                <w:bCs/>
                <w:color w:val="000000"/>
              </w:rPr>
            </w:pPr>
            <w:r w:rsidRPr="00073BDF">
              <w:rPr>
                <w:rFonts w:ascii="Calibri" w:eastAsia="Times New Roman" w:hAnsi="Calibri" w:cs="Times New Roman"/>
                <w:b/>
                <w:bCs/>
                <w:color w:val="000000"/>
              </w:rPr>
              <w:t>PERCENTAGES (%)</w:t>
            </w:r>
          </w:p>
        </w:tc>
        <w:tc>
          <w:tcPr>
            <w:tcW w:w="1710" w:type="dxa"/>
            <w:tcBorders>
              <w:top w:val="nil"/>
              <w:left w:val="nil"/>
              <w:bottom w:val="single" w:sz="4" w:space="0" w:color="auto"/>
              <w:right w:val="single" w:sz="4" w:space="0" w:color="auto"/>
            </w:tcBorders>
            <w:shd w:val="clear" w:color="000000" w:fill="C0C0C0"/>
            <w:vAlign w:val="center"/>
            <w:hideMark/>
          </w:tcPr>
          <w:p w:rsidR="00B212F6" w:rsidRPr="00073BDF" w:rsidRDefault="00B212F6" w:rsidP="00073BDF">
            <w:pPr>
              <w:spacing w:after="0" w:line="240" w:lineRule="auto"/>
              <w:rPr>
                <w:rFonts w:ascii="Calibri" w:eastAsia="Times New Roman" w:hAnsi="Calibri" w:cs="Times New Roman"/>
                <w:b/>
                <w:bCs/>
                <w:color w:val="000000"/>
              </w:rPr>
            </w:pPr>
            <w:r w:rsidRPr="00073BDF">
              <w:rPr>
                <w:rFonts w:ascii="Calibri" w:eastAsia="Times New Roman" w:hAnsi="Calibri" w:cs="Times New Roman"/>
                <w:b/>
                <w:bCs/>
                <w:color w:val="000000"/>
              </w:rPr>
              <w:t>%</w:t>
            </w:r>
          </w:p>
        </w:tc>
        <w:tc>
          <w:tcPr>
            <w:tcW w:w="1620" w:type="dxa"/>
            <w:tcBorders>
              <w:top w:val="nil"/>
              <w:left w:val="nil"/>
              <w:bottom w:val="single" w:sz="4" w:space="0" w:color="auto"/>
              <w:right w:val="single" w:sz="4" w:space="0" w:color="auto"/>
            </w:tcBorders>
            <w:shd w:val="clear" w:color="000000" w:fill="C0C0C0"/>
            <w:vAlign w:val="center"/>
            <w:hideMark/>
          </w:tcPr>
          <w:p w:rsidR="00B212F6" w:rsidRPr="00073BDF" w:rsidRDefault="00B212F6" w:rsidP="00073BDF">
            <w:pPr>
              <w:spacing w:after="0" w:line="240" w:lineRule="auto"/>
              <w:rPr>
                <w:rFonts w:ascii="Calibri" w:eastAsia="Times New Roman" w:hAnsi="Calibri" w:cs="Times New Roman"/>
                <w:b/>
                <w:bCs/>
                <w:color w:val="000000"/>
              </w:rPr>
            </w:pPr>
            <w:r w:rsidRPr="00073BDF">
              <w:rPr>
                <w:rFonts w:ascii="Calibri" w:eastAsia="Times New Roman" w:hAnsi="Calibri" w:cs="Times New Roman"/>
                <w:b/>
                <w:bCs/>
                <w:color w:val="000000"/>
              </w:rPr>
              <w:t>%</w:t>
            </w:r>
          </w:p>
        </w:tc>
        <w:tc>
          <w:tcPr>
            <w:tcW w:w="1620" w:type="dxa"/>
            <w:tcBorders>
              <w:top w:val="nil"/>
              <w:left w:val="nil"/>
              <w:bottom w:val="single" w:sz="4" w:space="0" w:color="auto"/>
              <w:right w:val="single" w:sz="4" w:space="0" w:color="auto"/>
            </w:tcBorders>
            <w:shd w:val="clear" w:color="000000" w:fill="C0C0C0"/>
            <w:vAlign w:val="center"/>
            <w:hideMark/>
          </w:tcPr>
          <w:p w:rsidR="00B212F6" w:rsidRPr="00073BDF" w:rsidRDefault="00B212F6" w:rsidP="00073BDF">
            <w:pPr>
              <w:spacing w:after="0" w:line="240" w:lineRule="auto"/>
              <w:rPr>
                <w:rFonts w:ascii="Calibri" w:eastAsia="Times New Roman" w:hAnsi="Calibri" w:cs="Times New Roman"/>
                <w:b/>
                <w:bCs/>
                <w:color w:val="000000"/>
              </w:rPr>
            </w:pPr>
            <w:r w:rsidRPr="00073BDF">
              <w:rPr>
                <w:rFonts w:ascii="Calibri" w:eastAsia="Times New Roman" w:hAnsi="Calibri" w:cs="Times New Roman"/>
                <w:b/>
                <w:bCs/>
                <w:color w:val="000000"/>
              </w:rPr>
              <w:t>%</w:t>
            </w:r>
          </w:p>
        </w:tc>
      </w:tr>
      <w:tr w:rsidR="00B212F6" w:rsidRPr="00073BDF" w:rsidTr="00B212F6">
        <w:trPr>
          <w:trHeight w:val="300"/>
        </w:trPr>
        <w:tc>
          <w:tcPr>
            <w:tcW w:w="3042" w:type="dxa"/>
            <w:tcBorders>
              <w:top w:val="nil"/>
              <w:left w:val="single" w:sz="4" w:space="0" w:color="auto"/>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rPr>
                <w:rFonts w:ascii="Calibri" w:eastAsia="Times New Roman" w:hAnsi="Calibri" w:cs="Times New Roman"/>
                <w:color w:val="000000"/>
              </w:rPr>
            </w:pPr>
            <w:r w:rsidRPr="00073BDF">
              <w:rPr>
                <w:rFonts w:ascii="Calibri" w:eastAsia="Times New Roman" w:hAnsi="Calibri" w:cs="Times New Roman"/>
                <w:color w:val="000000"/>
              </w:rPr>
              <w:t>Board Approved Grants</w:t>
            </w:r>
          </w:p>
        </w:tc>
        <w:tc>
          <w:tcPr>
            <w:tcW w:w="1710" w:type="dxa"/>
            <w:tcBorders>
              <w:top w:val="nil"/>
              <w:left w:val="nil"/>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jc w:val="right"/>
              <w:rPr>
                <w:rFonts w:ascii="Calibri" w:eastAsia="Times New Roman" w:hAnsi="Calibri" w:cs="Times New Roman"/>
                <w:color w:val="000000"/>
              </w:rPr>
            </w:pPr>
            <w:r w:rsidRPr="00073BDF">
              <w:rPr>
                <w:rFonts w:ascii="Calibri" w:eastAsia="Times New Roman" w:hAnsi="Calibri" w:cs="Times New Roman"/>
                <w:color w:val="000000"/>
              </w:rPr>
              <w:t>86.8%</w:t>
            </w:r>
          </w:p>
        </w:tc>
        <w:tc>
          <w:tcPr>
            <w:tcW w:w="1620" w:type="dxa"/>
            <w:tcBorders>
              <w:top w:val="nil"/>
              <w:left w:val="nil"/>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jc w:val="right"/>
              <w:rPr>
                <w:rFonts w:ascii="Calibri" w:eastAsia="Times New Roman" w:hAnsi="Calibri" w:cs="Times New Roman"/>
                <w:color w:val="000000"/>
              </w:rPr>
            </w:pPr>
            <w:r w:rsidRPr="00073BDF">
              <w:rPr>
                <w:rFonts w:ascii="Calibri" w:eastAsia="Times New Roman" w:hAnsi="Calibri" w:cs="Times New Roman"/>
                <w:color w:val="000000"/>
              </w:rPr>
              <w:t>76.8%</w:t>
            </w:r>
          </w:p>
        </w:tc>
        <w:tc>
          <w:tcPr>
            <w:tcW w:w="1620" w:type="dxa"/>
            <w:tcBorders>
              <w:top w:val="nil"/>
              <w:left w:val="nil"/>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jc w:val="right"/>
              <w:rPr>
                <w:rFonts w:ascii="Calibri" w:eastAsia="Times New Roman" w:hAnsi="Calibri" w:cs="Times New Roman"/>
                <w:color w:val="000000"/>
              </w:rPr>
            </w:pPr>
            <w:r w:rsidRPr="00073BDF">
              <w:rPr>
                <w:rFonts w:ascii="Calibri" w:eastAsia="Times New Roman" w:hAnsi="Calibri" w:cs="Times New Roman"/>
                <w:color w:val="000000"/>
              </w:rPr>
              <w:t>79.3%</w:t>
            </w:r>
          </w:p>
        </w:tc>
      </w:tr>
      <w:tr w:rsidR="00B212F6" w:rsidRPr="00073BDF" w:rsidTr="00B212F6">
        <w:trPr>
          <w:trHeight w:val="300"/>
        </w:trPr>
        <w:tc>
          <w:tcPr>
            <w:tcW w:w="3042" w:type="dxa"/>
            <w:tcBorders>
              <w:top w:val="nil"/>
              <w:left w:val="single" w:sz="4" w:space="0" w:color="auto"/>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rPr>
                <w:rFonts w:ascii="Calibri" w:eastAsia="Times New Roman" w:hAnsi="Calibri" w:cs="Times New Roman"/>
                <w:color w:val="000000"/>
              </w:rPr>
            </w:pPr>
            <w:r w:rsidRPr="00073BDF">
              <w:rPr>
                <w:rFonts w:ascii="Calibri" w:eastAsia="Times New Roman" w:hAnsi="Calibri" w:cs="Times New Roman"/>
                <w:color w:val="000000"/>
              </w:rPr>
              <w:t>ED Approved Grants</w:t>
            </w:r>
          </w:p>
        </w:tc>
        <w:tc>
          <w:tcPr>
            <w:tcW w:w="1710" w:type="dxa"/>
            <w:tcBorders>
              <w:top w:val="nil"/>
              <w:left w:val="nil"/>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jc w:val="right"/>
              <w:rPr>
                <w:rFonts w:ascii="Calibri" w:eastAsia="Times New Roman" w:hAnsi="Calibri" w:cs="Times New Roman"/>
                <w:color w:val="000000"/>
              </w:rPr>
            </w:pPr>
            <w:r w:rsidRPr="00073BDF">
              <w:rPr>
                <w:rFonts w:ascii="Calibri" w:eastAsia="Times New Roman" w:hAnsi="Calibri" w:cs="Times New Roman"/>
                <w:color w:val="000000"/>
              </w:rPr>
              <w:t>13.2%</w:t>
            </w:r>
          </w:p>
        </w:tc>
        <w:tc>
          <w:tcPr>
            <w:tcW w:w="1620" w:type="dxa"/>
            <w:tcBorders>
              <w:top w:val="nil"/>
              <w:left w:val="nil"/>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jc w:val="right"/>
              <w:rPr>
                <w:rFonts w:ascii="Calibri" w:eastAsia="Times New Roman" w:hAnsi="Calibri" w:cs="Times New Roman"/>
                <w:color w:val="000000"/>
              </w:rPr>
            </w:pPr>
            <w:r w:rsidRPr="00073BDF">
              <w:rPr>
                <w:rFonts w:ascii="Calibri" w:eastAsia="Times New Roman" w:hAnsi="Calibri" w:cs="Times New Roman"/>
                <w:color w:val="000000"/>
              </w:rPr>
              <w:t>23.2%</w:t>
            </w:r>
          </w:p>
        </w:tc>
        <w:tc>
          <w:tcPr>
            <w:tcW w:w="1620" w:type="dxa"/>
            <w:tcBorders>
              <w:top w:val="nil"/>
              <w:left w:val="nil"/>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jc w:val="right"/>
              <w:rPr>
                <w:rFonts w:ascii="Calibri" w:eastAsia="Times New Roman" w:hAnsi="Calibri" w:cs="Times New Roman"/>
                <w:color w:val="000000"/>
              </w:rPr>
            </w:pPr>
            <w:r w:rsidRPr="00073BDF">
              <w:rPr>
                <w:rFonts w:ascii="Calibri" w:eastAsia="Times New Roman" w:hAnsi="Calibri" w:cs="Times New Roman"/>
                <w:color w:val="000000"/>
              </w:rPr>
              <w:t>20.7%</w:t>
            </w:r>
          </w:p>
        </w:tc>
      </w:tr>
      <w:tr w:rsidR="00B212F6" w:rsidRPr="00073BDF" w:rsidTr="00B212F6">
        <w:trPr>
          <w:trHeight w:val="300"/>
        </w:trPr>
        <w:tc>
          <w:tcPr>
            <w:tcW w:w="3042" w:type="dxa"/>
            <w:tcBorders>
              <w:top w:val="nil"/>
              <w:left w:val="single" w:sz="4" w:space="0" w:color="auto"/>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rPr>
                <w:rFonts w:ascii="Calibri" w:eastAsia="Times New Roman" w:hAnsi="Calibri" w:cs="Times New Roman"/>
                <w:color w:val="000000"/>
              </w:rPr>
            </w:pPr>
            <w:r w:rsidRPr="00073BDF">
              <w:rPr>
                <w:rFonts w:ascii="Calibri" w:eastAsia="Times New Roman" w:hAnsi="Calibri" w:cs="Times New Roman"/>
                <w:color w:val="000000"/>
              </w:rPr>
              <w:t>Total OSIEA grants funding</w:t>
            </w:r>
          </w:p>
        </w:tc>
        <w:tc>
          <w:tcPr>
            <w:tcW w:w="1710" w:type="dxa"/>
            <w:tcBorders>
              <w:top w:val="nil"/>
              <w:left w:val="nil"/>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jc w:val="right"/>
              <w:rPr>
                <w:rFonts w:ascii="Calibri" w:eastAsia="Times New Roman" w:hAnsi="Calibri" w:cs="Times New Roman"/>
                <w:color w:val="000000"/>
              </w:rPr>
            </w:pPr>
            <w:r w:rsidRPr="00073BDF">
              <w:rPr>
                <w:rFonts w:ascii="Calibri" w:eastAsia="Times New Roman" w:hAnsi="Calibri" w:cs="Times New Roman"/>
                <w:color w:val="000000"/>
              </w:rPr>
              <w:t>67.6%</w:t>
            </w:r>
          </w:p>
        </w:tc>
        <w:tc>
          <w:tcPr>
            <w:tcW w:w="1620" w:type="dxa"/>
            <w:tcBorders>
              <w:top w:val="nil"/>
              <w:left w:val="nil"/>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jc w:val="right"/>
              <w:rPr>
                <w:rFonts w:ascii="Calibri" w:eastAsia="Times New Roman" w:hAnsi="Calibri" w:cs="Times New Roman"/>
                <w:color w:val="000000"/>
              </w:rPr>
            </w:pPr>
            <w:r w:rsidRPr="00073BDF">
              <w:rPr>
                <w:rFonts w:ascii="Calibri" w:eastAsia="Times New Roman" w:hAnsi="Calibri" w:cs="Times New Roman"/>
                <w:color w:val="000000"/>
              </w:rPr>
              <w:t>68.3%</w:t>
            </w:r>
          </w:p>
        </w:tc>
        <w:tc>
          <w:tcPr>
            <w:tcW w:w="1620" w:type="dxa"/>
            <w:tcBorders>
              <w:top w:val="nil"/>
              <w:left w:val="nil"/>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jc w:val="right"/>
              <w:rPr>
                <w:rFonts w:ascii="Calibri" w:eastAsia="Times New Roman" w:hAnsi="Calibri" w:cs="Times New Roman"/>
                <w:color w:val="000000"/>
              </w:rPr>
            </w:pPr>
            <w:r w:rsidRPr="00073BDF">
              <w:rPr>
                <w:rFonts w:ascii="Calibri" w:eastAsia="Times New Roman" w:hAnsi="Calibri" w:cs="Times New Roman"/>
                <w:color w:val="000000"/>
              </w:rPr>
              <w:t>58.4%</w:t>
            </w:r>
          </w:p>
        </w:tc>
      </w:tr>
      <w:tr w:rsidR="00B212F6" w:rsidRPr="00073BDF" w:rsidTr="00B212F6">
        <w:trPr>
          <w:trHeight w:val="300"/>
        </w:trPr>
        <w:tc>
          <w:tcPr>
            <w:tcW w:w="3042" w:type="dxa"/>
            <w:tcBorders>
              <w:top w:val="nil"/>
              <w:left w:val="single" w:sz="4" w:space="0" w:color="auto"/>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rPr>
                <w:rFonts w:ascii="Calibri" w:eastAsia="Times New Roman" w:hAnsi="Calibri" w:cs="Times New Roman"/>
                <w:color w:val="000000"/>
              </w:rPr>
            </w:pPr>
            <w:r w:rsidRPr="00073BDF">
              <w:rPr>
                <w:rFonts w:ascii="Calibri" w:eastAsia="Times New Roman" w:hAnsi="Calibri" w:cs="Times New Roman"/>
                <w:color w:val="000000"/>
              </w:rPr>
              <w:t>Total NWP grants funding</w:t>
            </w:r>
          </w:p>
        </w:tc>
        <w:tc>
          <w:tcPr>
            <w:tcW w:w="1710" w:type="dxa"/>
            <w:tcBorders>
              <w:top w:val="nil"/>
              <w:left w:val="nil"/>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jc w:val="right"/>
              <w:rPr>
                <w:rFonts w:ascii="Calibri" w:eastAsia="Times New Roman" w:hAnsi="Calibri" w:cs="Times New Roman"/>
                <w:color w:val="000000"/>
              </w:rPr>
            </w:pPr>
            <w:r w:rsidRPr="00073BDF">
              <w:rPr>
                <w:rFonts w:ascii="Calibri" w:eastAsia="Times New Roman" w:hAnsi="Calibri" w:cs="Times New Roman"/>
                <w:color w:val="000000"/>
              </w:rPr>
              <w:t>32.4%</w:t>
            </w:r>
          </w:p>
        </w:tc>
        <w:tc>
          <w:tcPr>
            <w:tcW w:w="1620" w:type="dxa"/>
            <w:tcBorders>
              <w:top w:val="nil"/>
              <w:left w:val="nil"/>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jc w:val="right"/>
              <w:rPr>
                <w:rFonts w:ascii="Calibri" w:eastAsia="Times New Roman" w:hAnsi="Calibri" w:cs="Times New Roman"/>
                <w:color w:val="000000"/>
              </w:rPr>
            </w:pPr>
            <w:r w:rsidRPr="00073BDF">
              <w:rPr>
                <w:rFonts w:ascii="Calibri" w:eastAsia="Times New Roman" w:hAnsi="Calibri" w:cs="Times New Roman"/>
                <w:color w:val="000000"/>
              </w:rPr>
              <w:t>31.7%</w:t>
            </w:r>
          </w:p>
        </w:tc>
        <w:tc>
          <w:tcPr>
            <w:tcW w:w="1620" w:type="dxa"/>
            <w:tcBorders>
              <w:top w:val="nil"/>
              <w:left w:val="nil"/>
              <w:bottom w:val="single" w:sz="4" w:space="0" w:color="auto"/>
              <w:right w:val="single" w:sz="4" w:space="0" w:color="auto"/>
            </w:tcBorders>
            <w:shd w:val="clear" w:color="000000" w:fill="FFFFFF"/>
            <w:vAlign w:val="center"/>
            <w:hideMark/>
          </w:tcPr>
          <w:p w:rsidR="00B212F6" w:rsidRPr="00073BDF" w:rsidRDefault="00B212F6" w:rsidP="00073BDF">
            <w:pPr>
              <w:spacing w:after="0" w:line="240" w:lineRule="auto"/>
              <w:jc w:val="right"/>
              <w:rPr>
                <w:rFonts w:ascii="Calibri" w:eastAsia="Times New Roman" w:hAnsi="Calibri" w:cs="Times New Roman"/>
                <w:color w:val="000000"/>
              </w:rPr>
            </w:pPr>
            <w:r w:rsidRPr="00073BDF">
              <w:rPr>
                <w:rFonts w:ascii="Calibri" w:eastAsia="Times New Roman" w:hAnsi="Calibri" w:cs="Times New Roman"/>
                <w:color w:val="000000"/>
              </w:rPr>
              <w:t>41.6%</w:t>
            </w:r>
          </w:p>
        </w:tc>
      </w:tr>
    </w:tbl>
    <w:p w:rsidR="00073BDF" w:rsidRDefault="00073BDF" w:rsidP="00B65274">
      <w:pPr>
        <w:spacing w:line="240" w:lineRule="auto"/>
        <w:jc w:val="both"/>
        <w:rPr>
          <w:rFonts w:cstheme="minorHAnsi"/>
        </w:rPr>
      </w:pPr>
    </w:p>
    <w:sectPr w:rsidR="00073BDF" w:rsidSect="003E3E05">
      <w:headerReference w:type="even" r:id="rId27"/>
      <w:headerReference w:type="default" r:id="rId28"/>
      <w:footerReference w:type="default" r:id="rId29"/>
      <w:headerReference w:type="first" r:id="rId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D7F" w:rsidRDefault="00D60D7F" w:rsidP="00187815">
      <w:pPr>
        <w:spacing w:after="0" w:line="240" w:lineRule="auto"/>
      </w:pPr>
      <w:r>
        <w:separator/>
      </w:r>
    </w:p>
  </w:endnote>
  <w:endnote w:type="continuationSeparator" w:id="0">
    <w:p w:rsidR="00D60D7F" w:rsidRDefault="00D60D7F" w:rsidP="001878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9E7" w:rsidRDefault="007729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0950839"/>
      <w:docPartObj>
        <w:docPartGallery w:val="Page Numbers (Bottom of Page)"/>
        <w:docPartUnique/>
      </w:docPartObj>
    </w:sdtPr>
    <w:sdtEndPr>
      <w:rPr>
        <w:color w:val="808080" w:themeColor="background1" w:themeShade="80"/>
        <w:spacing w:val="60"/>
      </w:rPr>
    </w:sdtEndPr>
    <w:sdtContent>
      <w:p w:rsidR="00C94D65" w:rsidRDefault="00C94D65">
        <w:pPr>
          <w:pStyle w:val="Footer"/>
          <w:pBdr>
            <w:top w:val="single" w:sz="4" w:space="1" w:color="D9D9D9" w:themeColor="background1" w:themeShade="D9"/>
          </w:pBdr>
          <w:jc w:val="right"/>
        </w:pPr>
        <w:r>
          <w:fldChar w:fldCharType="begin"/>
        </w:r>
        <w:r>
          <w:instrText xml:space="preserve"> PAGE   \* MERGEFORMAT </w:instrText>
        </w:r>
        <w:r>
          <w:fldChar w:fldCharType="separate"/>
        </w:r>
        <w:r w:rsidR="007729E7">
          <w:rPr>
            <w:noProof/>
          </w:rPr>
          <w:t>3</w:t>
        </w:r>
        <w:r>
          <w:rPr>
            <w:noProof/>
          </w:rPr>
          <w:fldChar w:fldCharType="end"/>
        </w:r>
        <w:r>
          <w:t xml:space="preserve"> | </w:t>
        </w:r>
        <w:r>
          <w:rPr>
            <w:color w:val="808080" w:themeColor="background1" w:themeShade="80"/>
            <w:spacing w:val="60"/>
          </w:rPr>
          <w:t>Page</w:t>
        </w:r>
      </w:p>
    </w:sdtContent>
  </w:sdt>
  <w:p w:rsidR="00C94D65" w:rsidRDefault="00C94D65">
    <w:pPr>
      <w:spacing w:line="200" w:lineRule="exac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9E7" w:rsidRDefault="007729E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5716050"/>
      <w:docPartObj>
        <w:docPartGallery w:val="Page Numbers (Bottom of Page)"/>
        <w:docPartUnique/>
      </w:docPartObj>
    </w:sdtPr>
    <w:sdtEndPr>
      <w:rPr>
        <w:color w:val="808080" w:themeColor="background1" w:themeShade="80"/>
        <w:spacing w:val="60"/>
      </w:rPr>
    </w:sdtEndPr>
    <w:sdtContent>
      <w:p w:rsidR="00C94D65" w:rsidRDefault="00C94D65">
        <w:pPr>
          <w:pStyle w:val="Footer"/>
          <w:pBdr>
            <w:top w:val="single" w:sz="4" w:space="1" w:color="D9D9D9" w:themeColor="background1" w:themeShade="D9"/>
          </w:pBdr>
          <w:jc w:val="right"/>
        </w:pPr>
        <w:r>
          <w:fldChar w:fldCharType="begin"/>
        </w:r>
        <w:r>
          <w:instrText xml:space="preserve"> PAGE   \* MERGEFORMAT </w:instrText>
        </w:r>
        <w:r>
          <w:fldChar w:fldCharType="separate"/>
        </w:r>
        <w:r w:rsidR="007729E7">
          <w:rPr>
            <w:noProof/>
          </w:rPr>
          <w:t>33</w:t>
        </w:r>
        <w:r>
          <w:rPr>
            <w:noProof/>
          </w:rPr>
          <w:fldChar w:fldCharType="end"/>
        </w:r>
        <w:r>
          <w:t xml:space="preserve"> | </w:t>
        </w:r>
        <w:r>
          <w:rPr>
            <w:color w:val="808080" w:themeColor="background1" w:themeShade="80"/>
            <w:spacing w:val="60"/>
          </w:rPr>
          <w:t>Page</w:t>
        </w:r>
      </w:p>
    </w:sdtContent>
  </w:sdt>
  <w:p w:rsidR="00C94D65" w:rsidRDefault="00C94D6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D7F" w:rsidRDefault="00D60D7F" w:rsidP="00187815">
      <w:pPr>
        <w:spacing w:after="0" w:line="240" w:lineRule="auto"/>
      </w:pPr>
      <w:r>
        <w:separator/>
      </w:r>
    </w:p>
  </w:footnote>
  <w:footnote w:type="continuationSeparator" w:id="0">
    <w:p w:rsidR="00D60D7F" w:rsidRDefault="00D60D7F" w:rsidP="001878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9E7" w:rsidRDefault="007729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D65" w:rsidRDefault="00C94D6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9E7" w:rsidRDefault="007729E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9E7" w:rsidRDefault="007729E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9E7" w:rsidRDefault="007729E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9E7" w:rsidRDefault="007729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55pt;height:11.55pt" o:bullet="t">
        <v:imagedata r:id="rId1" o:title="mso44FA"/>
      </v:shape>
    </w:pict>
  </w:numPicBullet>
  <w:abstractNum w:abstractNumId="0">
    <w:nsid w:val="04E15862"/>
    <w:multiLevelType w:val="hybridMultilevel"/>
    <w:tmpl w:val="C76C2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EC50E7"/>
    <w:multiLevelType w:val="hybridMultilevel"/>
    <w:tmpl w:val="DE40C9A8"/>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C205C7F"/>
    <w:multiLevelType w:val="hybridMultilevel"/>
    <w:tmpl w:val="94065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59774A"/>
    <w:multiLevelType w:val="hybridMultilevel"/>
    <w:tmpl w:val="FA6EFBB6"/>
    <w:lvl w:ilvl="0" w:tplc="F9F862F6">
      <w:start w:val="1"/>
      <w:numFmt w:val="lowerLetter"/>
      <w:lvlText w:val="%1."/>
      <w:lvlJc w:val="left"/>
      <w:pPr>
        <w:ind w:left="360" w:hanging="360"/>
      </w:pPr>
      <w:rPr>
        <w:rFonts w:asciiTheme="minorHAnsi" w:eastAsiaTheme="minorHAnsi" w:hAnsiTheme="minorHAnsi"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2F74383"/>
    <w:multiLevelType w:val="hybridMultilevel"/>
    <w:tmpl w:val="5C70C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8E4CC1"/>
    <w:multiLevelType w:val="hybridMultilevel"/>
    <w:tmpl w:val="98DC9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ED09B3"/>
    <w:multiLevelType w:val="hybridMultilevel"/>
    <w:tmpl w:val="3D30E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164508"/>
    <w:multiLevelType w:val="hybridMultilevel"/>
    <w:tmpl w:val="67186436"/>
    <w:lvl w:ilvl="0" w:tplc="9C04BD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2839E1"/>
    <w:multiLevelType w:val="hybridMultilevel"/>
    <w:tmpl w:val="6C08E410"/>
    <w:lvl w:ilvl="0" w:tplc="BDD64EF4">
      <w:start w:val="1"/>
      <w:numFmt w:val="decimal"/>
      <w:lvlText w:val="%1"/>
      <w:lvlJc w:val="left"/>
      <w:pPr>
        <w:ind w:hanging="111"/>
      </w:pPr>
      <w:rPr>
        <w:rFonts w:ascii="Calibri" w:eastAsia="Calibri" w:hAnsi="Calibri" w:hint="default"/>
        <w:w w:val="99"/>
        <w:position w:val="10"/>
        <w:sz w:val="13"/>
        <w:szCs w:val="13"/>
      </w:rPr>
    </w:lvl>
    <w:lvl w:ilvl="1" w:tplc="3CDE9758">
      <w:start w:val="1"/>
      <w:numFmt w:val="bullet"/>
      <w:lvlText w:val="•"/>
      <w:lvlJc w:val="left"/>
      <w:rPr>
        <w:rFonts w:hint="default"/>
      </w:rPr>
    </w:lvl>
    <w:lvl w:ilvl="2" w:tplc="718EF66C">
      <w:start w:val="1"/>
      <w:numFmt w:val="bullet"/>
      <w:lvlText w:val="•"/>
      <w:lvlJc w:val="left"/>
      <w:rPr>
        <w:rFonts w:hint="default"/>
      </w:rPr>
    </w:lvl>
    <w:lvl w:ilvl="3" w:tplc="39468DB0">
      <w:start w:val="1"/>
      <w:numFmt w:val="bullet"/>
      <w:lvlText w:val="•"/>
      <w:lvlJc w:val="left"/>
      <w:rPr>
        <w:rFonts w:hint="default"/>
      </w:rPr>
    </w:lvl>
    <w:lvl w:ilvl="4" w:tplc="0AA0E0B2">
      <w:start w:val="1"/>
      <w:numFmt w:val="bullet"/>
      <w:lvlText w:val="•"/>
      <w:lvlJc w:val="left"/>
      <w:rPr>
        <w:rFonts w:hint="default"/>
      </w:rPr>
    </w:lvl>
    <w:lvl w:ilvl="5" w:tplc="B588A448">
      <w:start w:val="1"/>
      <w:numFmt w:val="bullet"/>
      <w:lvlText w:val="•"/>
      <w:lvlJc w:val="left"/>
      <w:rPr>
        <w:rFonts w:hint="default"/>
      </w:rPr>
    </w:lvl>
    <w:lvl w:ilvl="6" w:tplc="ED6605C8">
      <w:start w:val="1"/>
      <w:numFmt w:val="bullet"/>
      <w:lvlText w:val="•"/>
      <w:lvlJc w:val="left"/>
      <w:rPr>
        <w:rFonts w:hint="default"/>
      </w:rPr>
    </w:lvl>
    <w:lvl w:ilvl="7" w:tplc="1F9C11CC">
      <w:start w:val="1"/>
      <w:numFmt w:val="bullet"/>
      <w:lvlText w:val="•"/>
      <w:lvlJc w:val="left"/>
      <w:rPr>
        <w:rFonts w:hint="default"/>
      </w:rPr>
    </w:lvl>
    <w:lvl w:ilvl="8" w:tplc="3F983042">
      <w:start w:val="1"/>
      <w:numFmt w:val="bullet"/>
      <w:lvlText w:val="•"/>
      <w:lvlJc w:val="left"/>
      <w:rPr>
        <w:rFonts w:hint="default"/>
      </w:rPr>
    </w:lvl>
  </w:abstractNum>
  <w:abstractNum w:abstractNumId="9">
    <w:nsid w:val="21353818"/>
    <w:multiLevelType w:val="hybridMultilevel"/>
    <w:tmpl w:val="9D321638"/>
    <w:lvl w:ilvl="0" w:tplc="DA5A2D7C">
      <w:start w:val="1"/>
      <w:numFmt w:val="upperLetter"/>
      <w:lvlText w:val="%1."/>
      <w:lvlJc w:val="left"/>
      <w:pPr>
        <w:ind w:left="0" w:hanging="360"/>
      </w:pPr>
      <w:rPr>
        <w:rFonts w:asciiTheme="minorHAnsi" w:eastAsiaTheme="minorHAnsi" w:hAnsiTheme="minorHAnsi" w:cstheme="minorBidi"/>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nsid w:val="26210AC7"/>
    <w:multiLevelType w:val="hybridMultilevel"/>
    <w:tmpl w:val="43322A2A"/>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11">
    <w:nsid w:val="2E8A1705"/>
    <w:multiLevelType w:val="hybridMultilevel"/>
    <w:tmpl w:val="7DFEF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5701E2"/>
    <w:multiLevelType w:val="hybridMultilevel"/>
    <w:tmpl w:val="C3EE199E"/>
    <w:lvl w:ilvl="0" w:tplc="1C5696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AA21E6"/>
    <w:multiLevelType w:val="hybridMultilevel"/>
    <w:tmpl w:val="5002F3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0F40F6B"/>
    <w:multiLevelType w:val="hybridMultilevel"/>
    <w:tmpl w:val="B04A7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9AF7EBF"/>
    <w:multiLevelType w:val="hybridMultilevel"/>
    <w:tmpl w:val="5072A39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6">
    <w:nsid w:val="4EDB78F2"/>
    <w:multiLevelType w:val="hybridMultilevel"/>
    <w:tmpl w:val="3C0C12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1BD7830"/>
    <w:multiLevelType w:val="hybridMultilevel"/>
    <w:tmpl w:val="44409C82"/>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18">
    <w:nsid w:val="52B93825"/>
    <w:multiLevelType w:val="hybridMultilevel"/>
    <w:tmpl w:val="A9CEB190"/>
    <w:lvl w:ilvl="0" w:tplc="8EF8660E">
      <w:start w:val="1"/>
      <w:numFmt w:val="bullet"/>
      <w:lvlText w:val="-"/>
      <w:lvlJc w:val="left"/>
      <w:pPr>
        <w:ind w:left="720" w:hanging="360"/>
      </w:pPr>
      <w:rPr>
        <w:rFonts w:ascii="Calibri" w:eastAsiaTheme="minorHAnsi"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B14A63"/>
    <w:multiLevelType w:val="hybridMultilevel"/>
    <w:tmpl w:val="FB94EB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50D2343"/>
    <w:multiLevelType w:val="hybridMultilevel"/>
    <w:tmpl w:val="7FEC055A"/>
    <w:lvl w:ilvl="0" w:tplc="E1CCE638">
      <w:numFmt w:val="bullet"/>
      <w:lvlText w:val="-"/>
      <w:lvlJc w:val="left"/>
      <w:pPr>
        <w:ind w:left="720" w:hanging="360"/>
      </w:pPr>
      <w:rPr>
        <w:rFonts w:ascii="Calibri" w:eastAsiaTheme="minorHAnsi"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572904"/>
    <w:multiLevelType w:val="hybridMultilevel"/>
    <w:tmpl w:val="589A7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401A76"/>
    <w:multiLevelType w:val="hybridMultilevel"/>
    <w:tmpl w:val="997242C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FC57D6"/>
    <w:multiLevelType w:val="hybridMultilevel"/>
    <w:tmpl w:val="DF66D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7C32411"/>
    <w:multiLevelType w:val="hybridMultilevel"/>
    <w:tmpl w:val="CEA8A4DE"/>
    <w:lvl w:ilvl="0" w:tplc="61625E6E">
      <w:start w:val="1"/>
      <w:numFmt w:val="bullet"/>
      <w:lvlText w:val=""/>
      <w:lvlJc w:val="left"/>
      <w:pPr>
        <w:ind w:hanging="361"/>
      </w:pPr>
      <w:rPr>
        <w:rFonts w:ascii="Wingdings" w:eastAsia="Wingdings" w:hAnsi="Wingdings" w:hint="default"/>
        <w:sz w:val="22"/>
        <w:szCs w:val="22"/>
      </w:rPr>
    </w:lvl>
    <w:lvl w:ilvl="1" w:tplc="01A0C270">
      <w:start w:val="1"/>
      <w:numFmt w:val="bullet"/>
      <w:lvlText w:val="•"/>
      <w:lvlJc w:val="left"/>
      <w:rPr>
        <w:rFonts w:hint="default"/>
      </w:rPr>
    </w:lvl>
    <w:lvl w:ilvl="2" w:tplc="C52CB692">
      <w:start w:val="1"/>
      <w:numFmt w:val="bullet"/>
      <w:lvlText w:val="•"/>
      <w:lvlJc w:val="left"/>
      <w:rPr>
        <w:rFonts w:hint="default"/>
      </w:rPr>
    </w:lvl>
    <w:lvl w:ilvl="3" w:tplc="95AC86BE">
      <w:start w:val="1"/>
      <w:numFmt w:val="bullet"/>
      <w:lvlText w:val="•"/>
      <w:lvlJc w:val="left"/>
      <w:rPr>
        <w:rFonts w:hint="default"/>
      </w:rPr>
    </w:lvl>
    <w:lvl w:ilvl="4" w:tplc="8B16522C">
      <w:start w:val="1"/>
      <w:numFmt w:val="bullet"/>
      <w:lvlText w:val="•"/>
      <w:lvlJc w:val="left"/>
      <w:rPr>
        <w:rFonts w:hint="default"/>
      </w:rPr>
    </w:lvl>
    <w:lvl w:ilvl="5" w:tplc="F8A0A344">
      <w:start w:val="1"/>
      <w:numFmt w:val="bullet"/>
      <w:lvlText w:val="•"/>
      <w:lvlJc w:val="left"/>
      <w:rPr>
        <w:rFonts w:hint="default"/>
      </w:rPr>
    </w:lvl>
    <w:lvl w:ilvl="6" w:tplc="D2CA271A">
      <w:start w:val="1"/>
      <w:numFmt w:val="bullet"/>
      <w:lvlText w:val="•"/>
      <w:lvlJc w:val="left"/>
      <w:rPr>
        <w:rFonts w:hint="default"/>
      </w:rPr>
    </w:lvl>
    <w:lvl w:ilvl="7" w:tplc="7D86E8AE">
      <w:start w:val="1"/>
      <w:numFmt w:val="bullet"/>
      <w:lvlText w:val="•"/>
      <w:lvlJc w:val="left"/>
      <w:rPr>
        <w:rFonts w:hint="default"/>
      </w:rPr>
    </w:lvl>
    <w:lvl w:ilvl="8" w:tplc="F864E062">
      <w:start w:val="1"/>
      <w:numFmt w:val="bullet"/>
      <w:lvlText w:val="•"/>
      <w:lvlJc w:val="left"/>
      <w:rPr>
        <w:rFonts w:hint="default"/>
      </w:rPr>
    </w:lvl>
  </w:abstractNum>
  <w:abstractNum w:abstractNumId="25">
    <w:nsid w:val="5E215BE4"/>
    <w:multiLevelType w:val="hybridMultilevel"/>
    <w:tmpl w:val="D7EE7262"/>
    <w:lvl w:ilvl="0" w:tplc="5CD48F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577680"/>
    <w:multiLevelType w:val="hybridMultilevel"/>
    <w:tmpl w:val="B9E88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3451392"/>
    <w:multiLevelType w:val="hybridMultilevel"/>
    <w:tmpl w:val="08E0D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5D11ABA"/>
    <w:multiLevelType w:val="hybridMultilevel"/>
    <w:tmpl w:val="FC782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
  </w:num>
  <w:num w:numId="3">
    <w:abstractNumId w:val="18"/>
  </w:num>
  <w:num w:numId="4">
    <w:abstractNumId w:val="23"/>
  </w:num>
  <w:num w:numId="5">
    <w:abstractNumId w:val="4"/>
  </w:num>
  <w:num w:numId="6">
    <w:abstractNumId w:val="10"/>
  </w:num>
  <w:num w:numId="7">
    <w:abstractNumId w:val="15"/>
  </w:num>
  <w:num w:numId="8">
    <w:abstractNumId w:val="16"/>
  </w:num>
  <w:num w:numId="9">
    <w:abstractNumId w:val="1"/>
  </w:num>
  <w:num w:numId="10">
    <w:abstractNumId w:val="0"/>
  </w:num>
  <w:num w:numId="11">
    <w:abstractNumId w:val="21"/>
  </w:num>
  <w:num w:numId="12">
    <w:abstractNumId w:val="11"/>
  </w:num>
  <w:num w:numId="13">
    <w:abstractNumId w:val="14"/>
  </w:num>
  <w:num w:numId="14">
    <w:abstractNumId w:val="12"/>
  </w:num>
  <w:num w:numId="15">
    <w:abstractNumId w:val="3"/>
  </w:num>
  <w:num w:numId="16">
    <w:abstractNumId w:val="25"/>
  </w:num>
  <w:num w:numId="17">
    <w:abstractNumId w:val="7"/>
  </w:num>
  <w:num w:numId="18">
    <w:abstractNumId w:val="22"/>
  </w:num>
  <w:num w:numId="19">
    <w:abstractNumId w:val="19"/>
  </w:num>
  <w:num w:numId="20">
    <w:abstractNumId w:val="27"/>
  </w:num>
  <w:num w:numId="21">
    <w:abstractNumId w:val="28"/>
  </w:num>
  <w:num w:numId="22">
    <w:abstractNumId w:val="6"/>
  </w:num>
  <w:num w:numId="23">
    <w:abstractNumId w:val="17"/>
  </w:num>
  <w:num w:numId="24">
    <w:abstractNumId w:val="9"/>
  </w:num>
  <w:num w:numId="25">
    <w:abstractNumId w:val="8"/>
  </w:num>
  <w:num w:numId="26">
    <w:abstractNumId w:val="24"/>
  </w:num>
  <w:num w:numId="27">
    <w:abstractNumId w:val="5"/>
  </w:num>
  <w:num w:numId="28">
    <w:abstractNumId w:val="13"/>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4CC"/>
    <w:rsid w:val="00003E56"/>
    <w:rsid w:val="00014B32"/>
    <w:rsid w:val="0001573A"/>
    <w:rsid w:val="00021A1D"/>
    <w:rsid w:val="000274A7"/>
    <w:rsid w:val="00033838"/>
    <w:rsid w:val="00034AAE"/>
    <w:rsid w:val="000367CC"/>
    <w:rsid w:val="00037F09"/>
    <w:rsid w:val="00047103"/>
    <w:rsid w:val="00050299"/>
    <w:rsid w:val="00053139"/>
    <w:rsid w:val="0005683E"/>
    <w:rsid w:val="00064F5E"/>
    <w:rsid w:val="00065E30"/>
    <w:rsid w:val="00072BEB"/>
    <w:rsid w:val="00073A3C"/>
    <w:rsid w:val="00073BDF"/>
    <w:rsid w:val="00076FE5"/>
    <w:rsid w:val="0008061D"/>
    <w:rsid w:val="000865D4"/>
    <w:rsid w:val="000870F2"/>
    <w:rsid w:val="00090432"/>
    <w:rsid w:val="00091325"/>
    <w:rsid w:val="0009400D"/>
    <w:rsid w:val="000A4905"/>
    <w:rsid w:val="000A4AF2"/>
    <w:rsid w:val="000A5F1D"/>
    <w:rsid w:val="000B22A7"/>
    <w:rsid w:val="000B7E59"/>
    <w:rsid w:val="000C3169"/>
    <w:rsid w:val="000C5B02"/>
    <w:rsid w:val="000C616B"/>
    <w:rsid w:val="000D01CF"/>
    <w:rsid w:val="000D024C"/>
    <w:rsid w:val="000D1076"/>
    <w:rsid w:val="000D10DE"/>
    <w:rsid w:val="000D407D"/>
    <w:rsid w:val="000D41E4"/>
    <w:rsid w:val="000D569B"/>
    <w:rsid w:val="000D5DA0"/>
    <w:rsid w:val="000E1150"/>
    <w:rsid w:val="000E1D7C"/>
    <w:rsid w:val="000E32E9"/>
    <w:rsid w:val="000E63DA"/>
    <w:rsid w:val="000F21E1"/>
    <w:rsid w:val="000F6917"/>
    <w:rsid w:val="00107944"/>
    <w:rsid w:val="00111026"/>
    <w:rsid w:val="00114C96"/>
    <w:rsid w:val="00115985"/>
    <w:rsid w:val="00115D50"/>
    <w:rsid w:val="00124B6F"/>
    <w:rsid w:val="00127330"/>
    <w:rsid w:val="001317EE"/>
    <w:rsid w:val="00132C8B"/>
    <w:rsid w:val="00133D75"/>
    <w:rsid w:val="00137C4F"/>
    <w:rsid w:val="00141B83"/>
    <w:rsid w:val="00141C00"/>
    <w:rsid w:val="001434B6"/>
    <w:rsid w:val="00154C21"/>
    <w:rsid w:val="00154F7F"/>
    <w:rsid w:val="00162B9B"/>
    <w:rsid w:val="00163BA1"/>
    <w:rsid w:val="0016532D"/>
    <w:rsid w:val="0016624A"/>
    <w:rsid w:val="00166D17"/>
    <w:rsid w:val="00172339"/>
    <w:rsid w:val="0017675E"/>
    <w:rsid w:val="00176CAA"/>
    <w:rsid w:val="00176F01"/>
    <w:rsid w:val="001827AB"/>
    <w:rsid w:val="00185817"/>
    <w:rsid w:val="00185BD0"/>
    <w:rsid w:val="00185C4E"/>
    <w:rsid w:val="00187815"/>
    <w:rsid w:val="00196995"/>
    <w:rsid w:val="001A12A2"/>
    <w:rsid w:val="001A5A51"/>
    <w:rsid w:val="001A5C19"/>
    <w:rsid w:val="001B2239"/>
    <w:rsid w:val="001C09DC"/>
    <w:rsid w:val="001C21DA"/>
    <w:rsid w:val="001D185F"/>
    <w:rsid w:val="001D28DE"/>
    <w:rsid w:val="001E235F"/>
    <w:rsid w:val="001E4328"/>
    <w:rsid w:val="001E61A2"/>
    <w:rsid w:val="001F2590"/>
    <w:rsid w:val="001F2F3B"/>
    <w:rsid w:val="001F4B45"/>
    <w:rsid w:val="001F55C4"/>
    <w:rsid w:val="001F5E6C"/>
    <w:rsid w:val="001F6082"/>
    <w:rsid w:val="001F61DA"/>
    <w:rsid w:val="001F70D9"/>
    <w:rsid w:val="00210745"/>
    <w:rsid w:val="0021273C"/>
    <w:rsid w:val="00213412"/>
    <w:rsid w:val="002134AD"/>
    <w:rsid w:val="00214E32"/>
    <w:rsid w:val="002224F1"/>
    <w:rsid w:val="00227F66"/>
    <w:rsid w:val="0023211A"/>
    <w:rsid w:val="00235B68"/>
    <w:rsid w:val="00241DD8"/>
    <w:rsid w:val="00244053"/>
    <w:rsid w:val="0024440B"/>
    <w:rsid w:val="00244964"/>
    <w:rsid w:val="00250DBD"/>
    <w:rsid w:val="00251E53"/>
    <w:rsid w:val="00252744"/>
    <w:rsid w:val="00253F8B"/>
    <w:rsid w:val="0025460E"/>
    <w:rsid w:val="0025780C"/>
    <w:rsid w:val="002603A0"/>
    <w:rsid w:val="00271B8E"/>
    <w:rsid w:val="002730EB"/>
    <w:rsid w:val="00276B1D"/>
    <w:rsid w:val="002772DE"/>
    <w:rsid w:val="00281E77"/>
    <w:rsid w:val="00282B85"/>
    <w:rsid w:val="00290CCF"/>
    <w:rsid w:val="00293CA3"/>
    <w:rsid w:val="002A05E1"/>
    <w:rsid w:val="002A2FA3"/>
    <w:rsid w:val="002A3DD0"/>
    <w:rsid w:val="002B0FF8"/>
    <w:rsid w:val="002B5C2F"/>
    <w:rsid w:val="002C3851"/>
    <w:rsid w:val="002C76A3"/>
    <w:rsid w:val="002D2608"/>
    <w:rsid w:val="002D304D"/>
    <w:rsid w:val="002E0C9D"/>
    <w:rsid w:val="002E0EB5"/>
    <w:rsid w:val="002F0461"/>
    <w:rsid w:val="002F2716"/>
    <w:rsid w:val="002F7DCE"/>
    <w:rsid w:val="003015AB"/>
    <w:rsid w:val="003047E7"/>
    <w:rsid w:val="003061A7"/>
    <w:rsid w:val="003068CD"/>
    <w:rsid w:val="00307ABC"/>
    <w:rsid w:val="003135A1"/>
    <w:rsid w:val="00315BD5"/>
    <w:rsid w:val="0032690D"/>
    <w:rsid w:val="0034555C"/>
    <w:rsid w:val="003467FF"/>
    <w:rsid w:val="003479B7"/>
    <w:rsid w:val="00354A91"/>
    <w:rsid w:val="00356246"/>
    <w:rsid w:val="00364C26"/>
    <w:rsid w:val="003656A0"/>
    <w:rsid w:val="00366895"/>
    <w:rsid w:val="00367315"/>
    <w:rsid w:val="00372582"/>
    <w:rsid w:val="003749B9"/>
    <w:rsid w:val="00375D73"/>
    <w:rsid w:val="00380056"/>
    <w:rsid w:val="0038164C"/>
    <w:rsid w:val="00383BB6"/>
    <w:rsid w:val="00392692"/>
    <w:rsid w:val="003A0F19"/>
    <w:rsid w:val="003B2AA2"/>
    <w:rsid w:val="003B570D"/>
    <w:rsid w:val="003C5D36"/>
    <w:rsid w:val="003C74F6"/>
    <w:rsid w:val="003D4969"/>
    <w:rsid w:val="003E2102"/>
    <w:rsid w:val="003E3E05"/>
    <w:rsid w:val="003E42A2"/>
    <w:rsid w:val="003E436A"/>
    <w:rsid w:val="003F04F5"/>
    <w:rsid w:val="003F431B"/>
    <w:rsid w:val="003F504D"/>
    <w:rsid w:val="003F7C41"/>
    <w:rsid w:val="00404FD6"/>
    <w:rsid w:val="00405179"/>
    <w:rsid w:val="00406309"/>
    <w:rsid w:val="00410223"/>
    <w:rsid w:val="00411DE4"/>
    <w:rsid w:val="004163F7"/>
    <w:rsid w:val="0042225C"/>
    <w:rsid w:val="00433C2E"/>
    <w:rsid w:val="0043579E"/>
    <w:rsid w:val="00440DA7"/>
    <w:rsid w:val="0044154B"/>
    <w:rsid w:val="00442A3C"/>
    <w:rsid w:val="00444511"/>
    <w:rsid w:val="00444718"/>
    <w:rsid w:val="004478E1"/>
    <w:rsid w:val="00447C50"/>
    <w:rsid w:val="00447CC4"/>
    <w:rsid w:val="00450553"/>
    <w:rsid w:val="004612C6"/>
    <w:rsid w:val="00481CB8"/>
    <w:rsid w:val="00481F7D"/>
    <w:rsid w:val="00483DC9"/>
    <w:rsid w:val="004843D0"/>
    <w:rsid w:val="00484B06"/>
    <w:rsid w:val="00490BBF"/>
    <w:rsid w:val="00495489"/>
    <w:rsid w:val="004A4857"/>
    <w:rsid w:val="004A4931"/>
    <w:rsid w:val="004A5516"/>
    <w:rsid w:val="004A6B5D"/>
    <w:rsid w:val="004B4198"/>
    <w:rsid w:val="004C0B4C"/>
    <w:rsid w:val="004C2FD5"/>
    <w:rsid w:val="004C448D"/>
    <w:rsid w:val="004C6C6F"/>
    <w:rsid w:val="004D08E9"/>
    <w:rsid w:val="004E3C57"/>
    <w:rsid w:val="004E63BA"/>
    <w:rsid w:val="004E6D1B"/>
    <w:rsid w:val="004F068D"/>
    <w:rsid w:val="004F2262"/>
    <w:rsid w:val="004F6CFD"/>
    <w:rsid w:val="004F6D69"/>
    <w:rsid w:val="00501C4E"/>
    <w:rsid w:val="00506F0A"/>
    <w:rsid w:val="00507CD0"/>
    <w:rsid w:val="0051379E"/>
    <w:rsid w:val="00517DFD"/>
    <w:rsid w:val="005200AF"/>
    <w:rsid w:val="0052655F"/>
    <w:rsid w:val="00531449"/>
    <w:rsid w:val="00535C61"/>
    <w:rsid w:val="00536FE4"/>
    <w:rsid w:val="00537048"/>
    <w:rsid w:val="00540EF6"/>
    <w:rsid w:val="00541C72"/>
    <w:rsid w:val="0054224C"/>
    <w:rsid w:val="0054326B"/>
    <w:rsid w:val="00551F4C"/>
    <w:rsid w:val="005528B1"/>
    <w:rsid w:val="00557723"/>
    <w:rsid w:val="00560BF6"/>
    <w:rsid w:val="00560CC3"/>
    <w:rsid w:val="00561535"/>
    <w:rsid w:val="00561E98"/>
    <w:rsid w:val="00561EFC"/>
    <w:rsid w:val="00567E93"/>
    <w:rsid w:val="00574513"/>
    <w:rsid w:val="0058458E"/>
    <w:rsid w:val="005851C7"/>
    <w:rsid w:val="00590E43"/>
    <w:rsid w:val="00594C34"/>
    <w:rsid w:val="005972BD"/>
    <w:rsid w:val="005A05F0"/>
    <w:rsid w:val="005A228B"/>
    <w:rsid w:val="005A24EA"/>
    <w:rsid w:val="005A27D3"/>
    <w:rsid w:val="005A40EC"/>
    <w:rsid w:val="005A67B7"/>
    <w:rsid w:val="005B3881"/>
    <w:rsid w:val="005C332D"/>
    <w:rsid w:val="005C4BAB"/>
    <w:rsid w:val="005D1F7C"/>
    <w:rsid w:val="005D4FD6"/>
    <w:rsid w:val="005D6C7D"/>
    <w:rsid w:val="005D779E"/>
    <w:rsid w:val="005D7BBB"/>
    <w:rsid w:val="005E2106"/>
    <w:rsid w:val="005E301E"/>
    <w:rsid w:val="005F1200"/>
    <w:rsid w:val="005F306A"/>
    <w:rsid w:val="005F697F"/>
    <w:rsid w:val="005F7E15"/>
    <w:rsid w:val="0060274B"/>
    <w:rsid w:val="00604CED"/>
    <w:rsid w:val="006075E7"/>
    <w:rsid w:val="00610400"/>
    <w:rsid w:val="006104F8"/>
    <w:rsid w:val="00621443"/>
    <w:rsid w:val="006217EC"/>
    <w:rsid w:val="00622CF8"/>
    <w:rsid w:val="00624017"/>
    <w:rsid w:val="006317F2"/>
    <w:rsid w:val="00631E6B"/>
    <w:rsid w:val="00631EF9"/>
    <w:rsid w:val="006321D0"/>
    <w:rsid w:val="006406EC"/>
    <w:rsid w:val="00640D65"/>
    <w:rsid w:val="00654057"/>
    <w:rsid w:val="00665A3F"/>
    <w:rsid w:val="00666579"/>
    <w:rsid w:val="00666CF5"/>
    <w:rsid w:val="006678CB"/>
    <w:rsid w:val="00667C19"/>
    <w:rsid w:val="00670EB3"/>
    <w:rsid w:val="006832DC"/>
    <w:rsid w:val="0069105D"/>
    <w:rsid w:val="0069631C"/>
    <w:rsid w:val="00696D10"/>
    <w:rsid w:val="006A045A"/>
    <w:rsid w:val="006A7604"/>
    <w:rsid w:val="006C0B75"/>
    <w:rsid w:val="006C70EA"/>
    <w:rsid w:val="006D5054"/>
    <w:rsid w:val="006D5C8F"/>
    <w:rsid w:val="006D6922"/>
    <w:rsid w:val="006E0C30"/>
    <w:rsid w:val="006E6171"/>
    <w:rsid w:val="006E69C9"/>
    <w:rsid w:val="006F199F"/>
    <w:rsid w:val="007000E4"/>
    <w:rsid w:val="00703295"/>
    <w:rsid w:val="00712D4E"/>
    <w:rsid w:val="0071385E"/>
    <w:rsid w:val="007179B2"/>
    <w:rsid w:val="007203A0"/>
    <w:rsid w:val="007228EF"/>
    <w:rsid w:val="00731DD5"/>
    <w:rsid w:val="00731E6E"/>
    <w:rsid w:val="0073554C"/>
    <w:rsid w:val="007408C0"/>
    <w:rsid w:val="0074344F"/>
    <w:rsid w:val="00745809"/>
    <w:rsid w:val="00746679"/>
    <w:rsid w:val="00750F1E"/>
    <w:rsid w:val="00753201"/>
    <w:rsid w:val="00753F31"/>
    <w:rsid w:val="00761ADE"/>
    <w:rsid w:val="00763427"/>
    <w:rsid w:val="00771E71"/>
    <w:rsid w:val="007729E7"/>
    <w:rsid w:val="00782729"/>
    <w:rsid w:val="00793BE2"/>
    <w:rsid w:val="00794337"/>
    <w:rsid w:val="00796EA6"/>
    <w:rsid w:val="007A3453"/>
    <w:rsid w:val="007A4964"/>
    <w:rsid w:val="007D03DD"/>
    <w:rsid w:val="007D2DF2"/>
    <w:rsid w:val="007E46D9"/>
    <w:rsid w:val="007F2D06"/>
    <w:rsid w:val="007F30B9"/>
    <w:rsid w:val="007F515D"/>
    <w:rsid w:val="007F556E"/>
    <w:rsid w:val="007F5F33"/>
    <w:rsid w:val="008017BB"/>
    <w:rsid w:val="0080327A"/>
    <w:rsid w:val="0080429C"/>
    <w:rsid w:val="008109A6"/>
    <w:rsid w:val="00811C58"/>
    <w:rsid w:val="0081406D"/>
    <w:rsid w:val="008176F5"/>
    <w:rsid w:val="008233BD"/>
    <w:rsid w:val="00833DC2"/>
    <w:rsid w:val="00834851"/>
    <w:rsid w:val="00835660"/>
    <w:rsid w:val="00841052"/>
    <w:rsid w:val="008441D7"/>
    <w:rsid w:val="008455E5"/>
    <w:rsid w:val="0084693D"/>
    <w:rsid w:val="00853BFE"/>
    <w:rsid w:val="0085413A"/>
    <w:rsid w:val="008548DD"/>
    <w:rsid w:val="00854C8D"/>
    <w:rsid w:val="008567DB"/>
    <w:rsid w:val="00880159"/>
    <w:rsid w:val="00880316"/>
    <w:rsid w:val="008827CE"/>
    <w:rsid w:val="00891A24"/>
    <w:rsid w:val="008A1B19"/>
    <w:rsid w:val="008A22CC"/>
    <w:rsid w:val="008A4FA4"/>
    <w:rsid w:val="008A6FB1"/>
    <w:rsid w:val="008A7516"/>
    <w:rsid w:val="008B094E"/>
    <w:rsid w:val="008B15C9"/>
    <w:rsid w:val="008B2A75"/>
    <w:rsid w:val="008C25E7"/>
    <w:rsid w:val="008C37B5"/>
    <w:rsid w:val="008D0FA2"/>
    <w:rsid w:val="008D3976"/>
    <w:rsid w:val="008D733D"/>
    <w:rsid w:val="008E2598"/>
    <w:rsid w:val="008E3A07"/>
    <w:rsid w:val="008E6360"/>
    <w:rsid w:val="008F013B"/>
    <w:rsid w:val="008F1395"/>
    <w:rsid w:val="008F1A24"/>
    <w:rsid w:val="008F3485"/>
    <w:rsid w:val="008F5066"/>
    <w:rsid w:val="008F6C80"/>
    <w:rsid w:val="00900A54"/>
    <w:rsid w:val="009036FE"/>
    <w:rsid w:val="00905520"/>
    <w:rsid w:val="00907A9A"/>
    <w:rsid w:val="00911FBF"/>
    <w:rsid w:val="00913EC8"/>
    <w:rsid w:val="00920DCC"/>
    <w:rsid w:val="009234BD"/>
    <w:rsid w:val="00925385"/>
    <w:rsid w:val="0093310B"/>
    <w:rsid w:val="00934695"/>
    <w:rsid w:val="00944D82"/>
    <w:rsid w:val="00950535"/>
    <w:rsid w:val="009539E5"/>
    <w:rsid w:val="00955678"/>
    <w:rsid w:val="00960AEF"/>
    <w:rsid w:val="00966443"/>
    <w:rsid w:val="00971FE6"/>
    <w:rsid w:val="009847B8"/>
    <w:rsid w:val="009847E8"/>
    <w:rsid w:val="00985BBB"/>
    <w:rsid w:val="00991804"/>
    <w:rsid w:val="00996D3E"/>
    <w:rsid w:val="0099788D"/>
    <w:rsid w:val="009A181E"/>
    <w:rsid w:val="009A1D5F"/>
    <w:rsid w:val="009A2568"/>
    <w:rsid w:val="009C53E8"/>
    <w:rsid w:val="009C57CD"/>
    <w:rsid w:val="009D1BE0"/>
    <w:rsid w:val="009D492D"/>
    <w:rsid w:val="009D5212"/>
    <w:rsid w:val="009D56B4"/>
    <w:rsid w:val="009D598B"/>
    <w:rsid w:val="009E0415"/>
    <w:rsid w:val="009E1F0E"/>
    <w:rsid w:val="009E38C1"/>
    <w:rsid w:val="009E7400"/>
    <w:rsid w:val="009F0155"/>
    <w:rsid w:val="009F0D60"/>
    <w:rsid w:val="00A04E3A"/>
    <w:rsid w:val="00A11B80"/>
    <w:rsid w:val="00A14872"/>
    <w:rsid w:val="00A23972"/>
    <w:rsid w:val="00A34D3D"/>
    <w:rsid w:val="00A354B8"/>
    <w:rsid w:val="00A36F1F"/>
    <w:rsid w:val="00A42766"/>
    <w:rsid w:val="00A43DD1"/>
    <w:rsid w:val="00A4430C"/>
    <w:rsid w:val="00A5482D"/>
    <w:rsid w:val="00A76A3D"/>
    <w:rsid w:val="00A775B8"/>
    <w:rsid w:val="00A77B42"/>
    <w:rsid w:val="00A77C21"/>
    <w:rsid w:val="00A81495"/>
    <w:rsid w:val="00A833FD"/>
    <w:rsid w:val="00A97467"/>
    <w:rsid w:val="00AA15CA"/>
    <w:rsid w:val="00AA562A"/>
    <w:rsid w:val="00AB027D"/>
    <w:rsid w:val="00AB4E58"/>
    <w:rsid w:val="00AB5605"/>
    <w:rsid w:val="00AB5746"/>
    <w:rsid w:val="00AB6238"/>
    <w:rsid w:val="00AB70C7"/>
    <w:rsid w:val="00AC0892"/>
    <w:rsid w:val="00AD2E07"/>
    <w:rsid w:val="00AE3805"/>
    <w:rsid w:val="00AE409F"/>
    <w:rsid w:val="00AE4870"/>
    <w:rsid w:val="00AF558B"/>
    <w:rsid w:val="00B01A77"/>
    <w:rsid w:val="00B02584"/>
    <w:rsid w:val="00B07FAF"/>
    <w:rsid w:val="00B13237"/>
    <w:rsid w:val="00B20706"/>
    <w:rsid w:val="00B20C89"/>
    <w:rsid w:val="00B212F6"/>
    <w:rsid w:val="00B3588E"/>
    <w:rsid w:val="00B40F70"/>
    <w:rsid w:val="00B41DCC"/>
    <w:rsid w:val="00B43C3E"/>
    <w:rsid w:val="00B44AF7"/>
    <w:rsid w:val="00B457FC"/>
    <w:rsid w:val="00B50790"/>
    <w:rsid w:val="00B50B4F"/>
    <w:rsid w:val="00B5481D"/>
    <w:rsid w:val="00B549BA"/>
    <w:rsid w:val="00B60BDE"/>
    <w:rsid w:val="00B627CD"/>
    <w:rsid w:val="00B65274"/>
    <w:rsid w:val="00B66F34"/>
    <w:rsid w:val="00B67213"/>
    <w:rsid w:val="00B71363"/>
    <w:rsid w:val="00B71EEA"/>
    <w:rsid w:val="00B72FD1"/>
    <w:rsid w:val="00B73ED4"/>
    <w:rsid w:val="00B74830"/>
    <w:rsid w:val="00B9071D"/>
    <w:rsid w:val="00B9107F"/>
    <w:rsid w:val="00B92A14"/>
    <w:rsid w:val="00B95718"/>
    <w:rsid w:val="00BB2E5B"/>
    <w:rsid w:val="00BB5295"/>
    <w:rsid w:val="00BB7520"/>
    <w:rsid w:val="00BB754C"/>
    <w:rsid w:val="00BC35C1"/>
    <w:rsid w:val="00BC4476"/>
    <w:rsid w:val="00BC4670"/>
    <w:rsid w:val="00BD0AD8"/>
    <w:rsid w:val="00BD1BFE"/>
    <w:rsid w:val="00BD33D6"/>
    <w:rsid w:val="00BD4A5A"/>
    <w:rsid w:val="00BD6D7C"/>
    <w:rsid w:val="00BD71AE"/>
    <w:rsid w:val="00BD734C"/>
    <w:rsid w:val="00BE1B75"/>
    <w:rsid w:val="00BE37A7"/>
    <w:rsid w:val="00BE6EC4"/>
    <w:rsid w:val="00BE7450"/>
    <w:rsid w:val="00BF1080"/>
    <w:rsid w:val="00BF29EB"/>
    <w:rsid w:val="00BF65C2"/>
    <w:rsid w:val="00BF6D41"/>
    <w:rsid w:val="00C03713"/>
    <w:rsid w:val="00C07FCB"/>
    <w:rsid w:val="00C20425"/>
    <w:rsid w:val="00C210CA"/>
    <w:rsid w:val="00C30F49"/>
    <w:rsid w:val="00C315EA"/>
    <w:rsid w:val="00C43733"/>
    <w:rsid w:val="00C47375"/>
    <w:rsid w:val="00C477D3"/>
    <w:rsid w:val="00C47E15"/>
    <w:rsid w:val="00C47FEF"/>
    <w:rsid w:val="00C545CE"/>
    <w:rsid w:val="00C56047"/>
    <w:rsid w:val="00C61961"/>
    <w:rsid w:val="00C653F7"/>
    <w:rsid w:val="00C71F97"/>
    <w:rsid w:val="00C72AB0"/>
    <w:rsid w:val="00C76EA9"/>
    <w:rsid w:val="00C8078E"/>
    <w:rsid w:val="00C86018"/>
    <w:rsid w:val="00C878A1"/>
    <w:rsid w:val="00C94D65"/>
    <w:rsid w:val="00CA2FF0"/>
    <w:rsid w:val="00CA6614"/>
    <w:rsid w:val="00CB37B2"/>
    <w:rsid w:val="00CB43CD"/>
    <w:rsid w:val="00CB7CA9"/>
    <w:rsid w:val="00CC0EC2"/>
    <w:rsid w:val="00CD7B2B"/>
    <w:rsid w:val="00CE359D"/>
    <w:rsid w:val="00CE6339"/>
    <w:rsid w:val="00CE74CC"/>
    <w:rsid w:val="00CF1D9F"/>
    <w:rsid w:val="00CF2420"/>
    <w:rsid w:val="00CF5AC0"/>
    <w:rsid w:val="00D036CC"/>
    <w:rsid w:val="00D1100C"/>
    <w:rsid w:val="00D11EE1"/>
    <w:rsid w:val="00D203BA"/>
    <w:rsid w:val="00D23E91"/>
    <w:rsid w:val="00D35F8E"/>
    <w:rsid w:val="00D37E02"/>
    <w:rsid w:val="00D40709"/>
    <w:rsid w:val="00D41B99"/>
    <w:rsid w:val="00D429B5"/>
    <w:rsid w:val="00D431CE"/>
    <w:rsid w:val="00D4336B"/>
    <w:rsid w:val="00D4616A"/>
    <w:rsid w:val="00D47CDB"/>
    <w:rsid w:val="00D504AD"/>
    <w:rsid w:val="00D60D7F"/>
    <w:rsid w:val="00D65BBE"/>
    <w:rsid w:val="00D6767B"/>
    <w:rsid w:val="00D70230"/>
    <w:rsid w:val="00D7638E"/>
    <w:rsid w:val="00D7745F"/>
    <w:rsid w:val="00D86F7E"/>
    <w:rsid w:val="00D97E81"/>
    <w:rsid w:val="00DA1E76"/>
    <w:rsid w:val="00DB0A5B"/>
    <w:rsid w:val="00DB21E4"/>
    <w:rsid w:val="00DC5398"/>
    <w:rsid w:val="00DC5B65"/>
    <w:rsid w:val="00DC6932"/>
    <w:rsid w:val="00DD1296"/>
    <w:rsid w:val="00DD2EB2"/>
    <w:rsid w:val="00DD59FD"/>
    <w:rsid w:val="00DE0674"/>
    <w:rsid w:val="00DE3F09"/>
    <w:rsid w:val="00DE43C7"/>
    <w:rsid w:val="00DE43D0"/>
    <w:rsid w:val="00DE5679"/>
    <w:rsid w:val="00DF5164"/>
    <w:rsid w:val="00DF7D73"/>
    <w:rsid w:val="00E0550B"/>
    <w:rsid w:val="00E060D8"/>
    <w:rsid w:val="00E11B70"/>
    <w:rsid w:val="00E123D5"/>
    <w:rsid w:val="00E15D67"/>
    <w:rsid w:val="00E2068C"/>
    <w:rsid w:val="00E20D7E"/>
    <w:rsid w:val="00E219B0"/>
    <w:rsid w:val="00E239A0"/>
    <w:rsid w:val="00E266D6"/>
    <w:rsid w:val="00E27249"/>
    <w:rsid w:val="00E27339"/>
    <w:rsid w:val="00E37677"/>
    <w:rsid w:val="00E421EE"/>
    <w:rsid w:val="00E43147"/>
    <w:rsid w:val="00E43FD2"/>
    <w:rsid w:val="00E475E6"/>
    <w:rsid w:val="00E47B20"/>
    <w:rsid w:val="00E520D7"/>
    <w:rsid w:val="00E5317E"/>
    <w:rsid w:val="00E53EFF"/>
    <w:rsid w:val="00E56DC9"/>
    <w:rsid w:val="00E6064C"/>
    <w:rsid w:val="00E63987"/>
    <w:rsid w:val="00E6586B"/>
    <w:rsid w:val="00E6607C"/>
    <w:rsid w:val="00E66E94"/>
    <w:rsid w:val="00E703CE"/>
    <w:rsid w:val="00E74C85"/>
    <w:rsid w:val="00E8048A"/>
    <w:rsid w:val="00E85BEF"/>
    <w:rsid w:val="00E87E8D"/>
    <w:rsid w:val="00E904CE"/>
    <w:rsid w:val="00E91708"/>
    <w:rsid w:val="00EA13DD"/>
    <w:rsid w:val="00EA3257"/>
    <w:rsid w:val="00EA4CCB"/>
    <w:rsid w:val="00EA4F5F"/>
    <w:rsid w:val="00EA7435"/>
    <w:rsid w:val="00EB08DC"/>
    <w:rsid w:val="00EB216A"/>
    <w:rsid w:val="00EB3E0A"/>
    <w:rsid w:val="00EB4B5C"/>
    <w:rsid w:val="00EC5285"/>
    <w:rsid w:val="00EC6E93"/>
    <w:rsid w:val="00ED06D5"/>
    <w:rsid w:val="00ED3482"/>
    <w:rsid w:val="00ED5BBB"/>
    <w:rsid w:val="00ED601C"/>
    <w:rsid w:val="00ED7AC2"/>
    <w:rsid w:val="00EE018E"/>
    <w:rsid w:val="00EE2572"/>
    <w:rsid w:val="00EE29CE"/>
    <w:rsid w:val="00EE3BF4"/>
    <w:rsid w:val="00EE4685"/>
    <w:rsid w:val="00EE7D56"/>
    <w:rsid w:val="00EF042E"/>
    <w:rsid w:val="00EF35B6"/>
    <w:rsid w:val="00F00B1C"/>
    <w:rsid w:val="00F06E84"/>
    <w:rsid w:val="00F10472"/>
    <w:rsid w:val="00F11730"/>
    <w:rsid w:val="00F13197"/>
    <w:rsid w:val="00F1572B"/>
    <w:rsid w:val="00F23D11"/>
    <w:rsid w:val="00F3074C"/>
    <w:rsid w:val="00F359E0"/>
    <w:rsid w:val="00F366F6"/>
    <w:rsid w:val="00F42BB3"/>
    <w:rsid w:val="00F43E35"/>
    <w:rsid w:val="00F46E88"/>
    <w:rsid w:val="00F50C7D"/>
    <w:rsid w:val="00F6152D"/>
    <w:rsid w:val="00F80A4C"/>
    <w:rsid w:val="00F8504D"/>
    <w:rsid w:val="00F85CD8"/>
    <w:rsid w:val="00F904FB"/>
    <w:rsid w:val="00F90544"/>
    <w:rsid w:val="00F92FCD"/>
    <w:rsid w:val="00FA19EF"/>
    <w:rsid w:val="00FA4457"/>
    <w:rsid w:val="00FB0B21"/>
    <w:rsid w:val="00FB1894"/>
    <w:rsid w:val="00FB68F7"/>
    <w:rsid w:val="00FC53B6"/>
    <w:rsid w:val="00FD0E73"/>
    <w:rsid w:val="00FD3962"/>
    <w:rsid w:val="00FE1B65"/>
    <w:rsid w:val="00FF3D8D"/>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BD33D6"/>
    <w:pPr>
      <w:widowControl w:val="0"/>
      <w:spacing w:after="0" w:line="240" w:lineRule="auto"/>
      <w:ind w:left="120"/>
      <w:outlineLvl w:val="0"/>
    </w:pPr>
    <w:rPr>
      <w:rFonts w:ascii="Calibri" w:eastAsia="Calibri" w:hAnsi="Calibri"/>
      <w:b/>
      <w:bCs/>
      <w:u w:val="single"/>
    </w:rPr>
  </w:style>
  <w:style w:type="paragraph" w:styleId="Heading2">
    <w:name w:val="heading 2"/>
    <w:basedOn w:val="Normal"/>
    <w:link w:val="Heading2Char"/>
    <w:uiPriority w:val="1"/>
    <w:qFormat/>
    <w:rsid w:val="00BD33D6"/>
    <w:pPr>
      <w:widowControl w:val="0"/>
      <w:spacing w:after="0" w:line="240" w:lineRule="auto"/>
      <w:ind w:left="120"/>
      <w:outlineLvl w:val="1"/>
    </w:pPr>
    <w:rPr>
      <w:rFonts w:ascii="Calibri" w:eastAsia="Calibri" w:hAnsi="Calibri"/>
      <w:b/>
      <w:bCs/>
      <w:i/>
    </w:rPr>
  </w:style>
  <w:style w:type="paragraph" w:styleId="Heading3">
    <w:name w:val="heading 3"/>
    <w:basedOn w:val="Normal"/>
    <w:next w:val="Normal"/>
    <w:link w:val="Heading3Char"/>
    <w:uiPriority w:val="9"/>
    <w:unhideWhenUsed/>
    <w:qFormat/>
    <w:rsid w:val="007F515D"/>
    <w:pPr>
      <w:keepNext/>
      <w:keepLines/>
      <w:spacing w:before="200" w:after="0"/>
      <w:outlineLvl w:val="2"/>
    </w:pPr>
    <w:rPr>
      <w:rFonts w:asciiTheme="majorHAnsi" w:eastAsiaTheme="majorEastAsia" w:hAnsiTheme="majorHAnsi" w:cstheme="majorBidi"/>
      <w:b/>
      <w:bCs/>
      <w:color w:val="AD0101"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7FCB"/>
    <w:pPr>
      <w:ind w:left="720"/>
      <w:contextualSpacing/>
    </w:pPr>
  </w:style>
  <w:style w:type="paragraph" w:styleId="Header">
    <w:name w:val="header"/>
    <w:basedOn w:val="Normal"/>
    <w:link w:val="HeaderChar"/>
    <w:uiPriority w:val="99"/>
    <w:unhideWhenUsed/>
    <w:rsid w:val="001878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7815"/>
  </w:style>
  <w:style w:type="paragraph" w:styleId="Footer">
    <w:name w:val="footer"/>
    <w:basedOn w:val="Normal"/>
    <w:link w:val="FooterChar"/>
    <w:uiPriority w:val="99"/>
    <w:unhideWhenUsed/>
    <w:rsid w:val="001878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7815"/>
  </w:style>
  <w:style w:type="paragraph" w:styleId="NoSpacing">
    <w:name w:val="No Spacing"/>
    <w:link w:val="NoSpacingChar"/>
    <w:uiPriority w:val="1"/>
    <w:qFormat/>
    <w:rsid w:val="003E3E05"/>
    <w:pPr>
      <w:spacing w:after="0" w:line="240" w:lineRule="auto"/>
    </w:pPr>
  </w:style>
  <w:style w:type="paragraph" w:styleId="NormalWeb">
    <w:name w:val="Normal (Web)"/>
    <w:basedOn w:val="Normal"/>
    <w:uiPriority w:val="99"/>
    <w:unhideWhenUsed/>
    <w:rsid w:val="00E123D5"/>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EA13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13DD"/>
    <w:rPr>
      <w:rFonts w:ascii="Tahoma" w:hAnsi="Tahoma" w:cs="Tahoma"/>
      <w:sz w:val="16"/>
      <w:szCs w:val="16"/>
    </w:rPr>
  </w:style>
  <w:style w:type="paragraph" w:customStyle="1" w:styleId="Default">
    <w:name w:val="Default"/>
    <w:rsid w:val="007203A0"/>
    <w:pPr>
      <w:autoSpaceDE w:val="0"/>
      <w:autoSpaceDN w:val="0"/>
      <w:adjustRightInd w:val="0"/>
      <w:spacing w:after="0" w:line="240" w:lineRule="auto"/>
    </w:pPr>
    <w:rPr>
      <w:rFonts w:ascii="Arial" w:hAnsi="Arial" w:cs="Arial"/>
      <w:color w:val="000000"/>
      <w:sz w:val="24"/>
      <w:szCs w:val="24"/>
    </w:rPr>
  </w:style>
  <w:style w:type="character" w:styleId="BookTitle">
    <w:name w:val="Book Title"/>
    <w:basedOn w:val="DefaultParagraphFont"/>
    <w:uiPriority w:val="33"/>
    <w:qFormat/>
    <w:rsid w:val="007203A0"/>
    <w:rPr>
      <w:b/>
      <w:bCs/>
      <w:smallCaps/>
      <w:spacing w:val="5"/>
    </w:rPr>
  </w:style>
  <w:style w:type="character" w:customStyle="1" w:styleId="apple-converted-space">
    <w:name w:val="apple-converted-space"/>
    <w:basedOn w:val="DefaultParagraphFont"/>
    <w:rsid w:val="007203A0"/>
  </w:style>
  <w:style w:type="character" w:customStyle="1" w:styleId="yiv0980097780">
    <w:name w:val="yiv0980097780"/>
    <w:rsid w:val="007203A0"/>
  </w:style>
  <w:style w:type="character" w:customStyle="1" w:styleId="Internetlink">
    <w:name w:val="Internet link"/>
    <w:basedOn w:val="DefaultParagraphFont"/>
    <w:rsid w:val="007203A0"/>
    <w:rPr>
      <w:color w:val="0000FF"/>
      <w:u w:val="single"/>
    </w:rPr>
  </w:style>
  <w:style w:type="character" w:styleId="Strong">
    <w:name w:val="Strong"/>
    <w:basedOn w:val="DefaultParagraphFont"/>
    <w:uiPriority w:val="22"/>
    <w:qFormat/>
    <w:rsid w:val="007203A0"/>
    <w:rPr>
      <w:b/>
      <w:bCs/>
    </w:rPr>
  </w:style>
  <w:style w:type="character" w:customStyle="1" w:styleId="Heading1Char">
    <w:name w:val="Heading 1 Char"/>
    <w:basedOn w:val="DefaultParagraphFont"/>
    <w:link w:val="Heading1"/>
    <w:uiPriority w:val="1"/>
    <w:rsid w:val="00BD33D6"/>
    <w:rPr>
      <w:rFonts w:ascii="Calibri" w:eastAsia="Calibri" w:hAnsi="Calibri"/>
      <w:b/>
      <w:bCs/>
      <w:u w:val="single"/>
    </w:rPr>
  </w:style>
  <w:style w:type="character" w:customStyle="1" w:styleId="Heading2Char">
    <w:name w:val="Heading 2 Char"/>
    <w:basedOn w:val="DefaultParagraphFont"/>
    <w:link w:val="Heading2"/>
    <w:uiPriority w:val="1"/>
    <w:rsid w:val="00BD33D6"/>
    <w:rPr>
      <w:rFonts w:ascii="Calibri" w:eastAsia="Calibri" w:hAnsi="Calibri"/>
      <w:b/>
      <w:bCs/>
      <w:i/>
    </w:rPr>
  </w:style>
  <w:style w:type="paragraph" w:styleId="BodyText">
    <w:name w:val="Body Text"/>
    <w:basedOn w:val="Normal"/>
    <w:link w:val="BodyTextChar"/>
    <w:uiPriority w:val="1"/>
    <w:qFormat/>
    <w:rsid w:val="00BD33D6"/>
    <w:pPr>
      <w:widowControl w:val="0"/>
      <w:spacing w:after="0" w:line="240" w:lineRule="auto"/>
      <w:ind w:left="100"/>
    </w:pPr>
    <w:rPr>
      <w:rFonts w:ascii="Calibri" w:eastAsia="Calibri" w:hAnsi="Calibri"/>
    </w:rPr>
  </w:style>
  <w:style w:type="character" w:customStyle="1" w:styleId="BodyTextChar">
    <w:name w:val="Body Text Char"/>
    <w:basedOn w:val="DefaultParagraphFont"/>
    <w:link w:val="BodyText"/>
    <w:uiPriority w:val="1"/>
    <w:rsid w:val="00BD33D6"/>
    <w:rPr>
      <w:rFonts w:ascii="Calibri" w:eastAsia="Calibri" w:hAnsi="Calibri"/>
    </w:rPr>
  </w:style>
  <w:style w:type="paragraph" w:customStyle="1" w:styleId="TableParagraph">
    <w:name w:val="Table Paragraph"/>
    <w:basedOn w:val="Normal"/>
    <w:uiPriority w:val="1"/>
    <w:qFormat/>
    <w:rsid w:val="00BD33D6"/>
    <w:pPr>
      <w:widowControl w:val="0"/>
      <w:spacing w:after="0" w:line="240" w:lineRule="auto"/>
    </w:pPr>
  </w:style>
  <w:style w:type="character" w:styleId="Hyperlink">
    <w:name w:val="Hyperlink"/>
    <w:basedOn w:val="DefaultParagraphFont"/>
    <w:uiPriority w:val="99"/>
    <w:unhideWhenUsed/>
    <w:rsid w:val="003F7C41"/>
    <w:rPr>
      <w:color w:val="D26900" w:themeColor="hyperlink"/>
      <w:u w:val="single"/>
    </w:rPr>
  </w:style>
  <w:style w:type="paragraph" w:styleId="Caption">
    <w:name w:val="caption"/>
    <w:basedOn w:val="Normal"/>
    <w:next w:val="Normal"/>
    <w:uiPriority w:val="35"/>
    <w:unhideWhenUsed/>
    <w:qFormat/>
    <w:rsid w:val="003F7C41"/>
    <w:pPr>
      <w:spacing w:line="240" w:lineRule="auto"/>
    </w:pPr>
    <w:rPr>
      <w:b/>
      <w:bCs/>
      <w:color w:val="AD0101" w:themeColor="accent1"/>
      <w:sz w:val="18"/>
      <w:szCs w:val="18"/>
    </w:rPr>
  </w:style>
  <w:style w:type="character" w:styleId="IntenseEmphasis">
    <w:name w:val="Intense Emphasis"/>
    <w:basedOn w:val="DefaultParagraphFont"/>
    <w:uiPriority w:val="21"/>
    <w:qFormat/>
    <w:rsid w:val="002A05E1"/>
    <w:rPr>
      <w:b/>
      <w:bCs/>
      <w:i/>
      <w:iCs/>
      <w:color w:val="AD0101" w:themeColor="accent1"/>
    </w:rPr>
  </w:style>
  <w:style w:type="paragraph" w:styleId="Title">
    <w:name w:val="Title"/>
    <w:basedOn w:val="Normal"/>
    <w:next w:val="Normal"/>
    <w:link w:val="TitleChar"/>
    <w:uiPriority w:val="10"/>
    <w:qFormat/>
    <w:rsid w:val="002A05E1"/>
    <w:pPr>
      <w:pBdr>
        <w:bottom w:val="single" w:sz="8" w:space="4" w:color="AD0101" w:themeColor="accent1"/>
      </w:pBdr>
      <w:spacing w:after="300" w:line="240" w:lineRule="auto"/>
      <w:contextualSpacing/>
    </w:pPr>
    <w:rPr>
      <w:rFonts w:asciiTheme="majorHAnsi" w:eastAsiaTheme="majorEastAsia" w:hAnsiTheme="majorHAnsi" w:cstheme="majorBidi"/>
      <w:color w:val="232323" w:themeColor="text2" w:themeShade="BF"/>
      <w:spacing w:val="5"/>
      <w:kern w:val="28"/>
      <w:sz w:val="52"/>
      <w:szCs w:val="52"/>
    </w:rPr>
  </w:style>
  <w:style w:type="character" w:customStyle="1" w:styleId="TitleChar">
    <w:name w:val="Title Char"/>
    <w:basedOn w:val="DefaultParagraphFont"/>
    <w:link w:val="Title"/>
    <w:uiPriority w:val="10"/>
    <w:rsid w:val="002A05E1"/>
    <w:rPr>
      <w:rFonts w:asciiTheme="majorHAnsi" w:eastAsiaTheme="majorEastAsia" w:hAnsiTheme="majorHAnsi" w:cstheme="majorBidi"/>
      <w:color w:val="232323" w:themeColor="text2" w:themeShade="BF"/>
      <w:spacing w:val="5"/>
      <w:kern w:val="28"/>
      <w:sz w:val="52"/>
      <w:szCs w:val="52"/>
    </w:rPr>
  </w:style>
  <w:style w:type="character" w:styleId="Emphasis">
    <w:name w:val="Emphasis"/>
    <w:basedOn w:val="DefaultParagraphFont"/>
    <w:uiPriority w:val="20"/>
    <w:qFormat/>
    <w:rsid w:val="002A05E1"/>
    <w:rPr>
      <w:i/>
      <w:iCs/>
    </w:rPr>
  </w:style>
  <w:style w:type="character" w:styleId="CommentReference">
    <w:name w:val="annotation reference"/>
    <w:basedOn w:val="DefaultParagraphFont"/>
    <w:uiPriority w:val="99"/>
    <w:semiHidden/>
    <w:unhideWhenUsed/>
    <w:rsid w:val="00B01A77"/>
    <w:rPr>
      <w:sz w:val="16"/>
      <w:szCs w:val="16"/>
    </w:rPr>
  </w:style>
  <w:style w:type="paragraph" w:styleId="CommentText">
    <w:name w:val="annotation text"/>
    <w:basedOn w:val="Normal"/>
    <w:link w:val="CommentTextChar"/>
    <w:uiPriority w:val="99"/>
    <w:semiHidden/>
    <w:unhideWhenUsed/>
    <w:rsid w:val="00B01A77"/>
    <w:pPr>
      <w:spacing w:line="240" w:lineRule="auto"/>
    </w:pPr>
    <w:rPr>
      <w:sz w:val="20"/>
      <w:szCs w:val="20"/>
    </w:rPr>
  </w:style>
  <w:style w:type="character" w:customStyle="1" w:styleId="CommentTextChar">
    <w:name w:val="Comment Text Char"/>
    <w:basedOn w:val="DefaultParagraphFont"/>
    <w:link w:val="CommentText"/>
    <w:uiPriority w:val="99"/>
    <w:semiHidden/>
    <w:rsid w:val="00B01A77"/>
    <w:rPr>
      <w:sz w:val="20"/>
      <w:szCs w:val="20"/>
    </w:rPr>
  </w:style>
  <w:style w:type="paragraph" w:styleId="CommentSubject">
    <w:name w:val="annotation subject"/>
    <w:basedOn w:val="CommentText"/>
    <w:next w:val="CommentText"/>
    <w:link w:val="CommentSubjectChar"/>
    <w:uiPriority w:val="99"/>
    <w:semiHidden/>
    <w:unhideWhenUsed/>
    <w:rsid w:val="00B01A77"/>
    <w:rPr>
      <w:b/>
      <w:bCs/>
    </w:rPr>
  </w:style>
  <w:style w:type="character" w:customStyle="1" w:styleId="CommentSubjectChar">
    <w:name w:val="Comment Subject Char"/>
    <w:basedOn w:val="CommentTextChar"/>
    <w:link w:val="CommentSubject"/>
    <w:uiPriority w:val="99"/>
    <w:semiHidden/>
    <w:rsid w:val="00B01A77"/>
    <w:rPr>
      <w:b/>
      <w:bCs/>
      <w:sz w:val="20"/>
      <w:szCs w:val="20"/>
    </w:rPr>
  </w:style>
  <w:style w:type="table" w:styleId="TableGrid">
    <w:name w:val="Table Grid"/>
    <w:basedOn w:val="TableNormal"/>
    <w:uiPriority w:val="59"/>
    <w:rsid w:val="00AE38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7F515D"/>
    <w:rPr>
      <w:rFonts w:asciiTheme="majorHAnsi" w:eastAsiaTheme="majorEastAsia" w:hAnsiTheme="majorHAnsi" w:cstheme="majorBidi"/>
      <w:b/>
      <w:bCs/>
      <w:color w:val="AD0101" w:themeColor="accent1"/>
    </w:rPr>
  </w:style>
  <w:style w:type="character" w:customStyle="1" w:styleId="NoSpacingChar">
    <w:name w:val="No Spacing Char"/>
    <w:basedOn w:val="DefaultParagraphFont"/>
    <w:link w:val="NoSpacing"/>
    <w:uiPriority w:val="1"/>
    <w:rsid w:val="00F366F6"/>
  </w:style>
  <w:style w:type="character" w:styleId="FollowedHyperlink">
    <w:name w:val="FollowedHyperlink"/>
    <w:basedOn w:val="DefaultParagraphFont"/>
    <w:uiPriority w:val="99"/>
    <w:semiHidden/>
    <w:unhideWhenUsed/>
    <w:rsid w:val="00141C00"/>
    <w:rPr>
      <w:color w:val="D89243"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BD33D6"/>
    <w:pPr>
      <w:widowControl w:val="0"/>
      <w:spacing w:after="0" w:line="240" w:lineRule="auto"/>
      <w:ind w:left="120"/>
      <w:outlineLvl w:val="0"/>
    </w:pPr>
    <w:rPr>
      <w:rFonts w:ascii="Calibri" w:eastAsia="Calibri" w:hAnsi="Calibri"/>
      <w:b/>
      <w:bCs/>
      <w:u w:val="single"/>
    </w:rPr>
  </w:style>
  <w:style w:type="paragraph" w:styleId="Heading2">
    <w:name w:val="heading 2"/>
    <w:basedOn w:val="Normal"/>
    <w:link w:val="Heading2Char"/>
    <w:uiPriority w:val="1"/>
    <w:qFormat/>
    <w:rsid w:val="00BD33D6"/>
    <w:pPr>
      <w:widowControl w:val="0"/>
      <w:spacing w:after="0" w:line="240" w:lineRule="auto"/>
      <w:ind w:left="120"/>
      <w:outlineLvl w:val="1"/>
    </w:pPr>
    <w:rPr>
      <w:rFonts w:ascii="Calibri" w:eastAsia="Calibri" w:hAnsi="Calibri"/>
      <w:b/>
      <w:bCs/>
      <w:i/>
    </w:rPr>
  </w:style>
  <w:style w:type="paragraph" w:styleId="Heading3">
    <w:name w:val="heading 3"/>
    <w:basedOn w:val="Normal"/>
    <w:next w:val="Normal"/>
    <w:link w:val="Heading3Char"/>
    <w:uiPriority w:val="9"/>
    <w:unhideWhenUsed/>
    <w:qFormat/>
    <w:rsid w:val="007F515D"/>
    <w:pPr>
      <w:keepNext/>
      <w:keepLines/>
      <w:spacing w:before="200" w:after="0"/>
      <w:outlineLvl w:val="2"/>
    </w:pPr>
    <w:rPr>
      <w:rFonts w:asciiTheme="majorHAnsi" w:eastAsiaTheme="majorEastAsia" w:hAnsiTheme="majorHAnsi" w:cstheme="majorBidi"/>
      <w:b/>
      <w:bCs/>
      <w:color w:val="AD0101"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7FCB"/>
    <w:pPr>
      <w:ind w:left="720"/>
      <w:contextualSpacing/>
    </w:pPr>
  </w:style>
  <w:style w:type="paragraph" w:styleId="Header">
    <w:name w:val="header"/>
    <w:basedOn w:val="Normal"/>
    <w:link w:val="HeaderChar"/>
    <w:uiPriority w:val="99"/>
    <w:unhideWhenUsed/>
    <w:rsid w:val="001878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7815"/>
  </w:style>
  <w:style w:type="paragraph" w:styleId="Footer">
    <w:name w:val="footer"/>
    <w:basedOn w:val="Normal"/>
    <w:link w:val="FooterChar"/>
    <w:uiPriority w:val="99"/>
    <w:unhideWhenUsed/>
    <w:rsid w:val="001878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7815"/>
  </w:style>
  <w:style w:type="paragraph" w:styleId="NoSpacing">
    <w:name w:val="No Spacing"/>
    <w:link w:val="NoSpacingChar"/>
    <w:uiPriority w:val="1"/>
    <w:qFormat/>
    <w:rsid w:val="003E3E05"/>
    <w:pPr>
      <w:spacing w:after="0" w:line="240" w:lineRule="auto"/>
    </w:pPr>
  </w:style>
  <w:style w:type="paragraph" w:styleId="NormalWeb">
    <w:name w:val="Normal (Web)"/>
    <w:basedOn w:val="Normal"/>
    <w:uiPriority w:val="99"/>
    <w:unhideWhenUsed/>
    <w:rsid w:val="00E123D5"/>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EA13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13DD"/>
    <w:rPr>
      <w:rFonts w:ascii="Tahoma" w:hAnsi="Tahoma" w:cs="Tahoma"/>
      <w:sz w:val="16"/>
      <w:szCs w:val="16"/>
    </w:rPr>
  </w:style>
  <w:style w:type="paragraph" w:customStyle="1" w:styleId="Default">
    <w:name w:val="Default"/>
    <w:rsid w:val="007203A0"/>
    <w:pPr>
      <w:autoSpaceDE w:val="0"/>
      <w:autoSpaceDN w:val="0"/>
      <w:adjustRightInd w:val="0"/>
      <w:spacing w:after="0" w:line="240" w:lineRule="auto"/>
    </w:pPr>
    <w:rPr>
      <w:rFonts w:ascii="Arial" w:hAnsi="Arial" w:cs="Arial"/>
      <w:color w:val="000000"/>
      <w:sz w:val="24"/>
      <w:szCs w:val="24"/>
    </w:rPr>
  </w:style>
  <w:style w:type="character" w:styleId="BookTitle">
    <w:name w:val="Book Title"/>
    <w:basedOn w:val="DefaultParagraphFont"/>
    <w:uiPriority w:val="33"/>
    <w:qFormat/>
    <w:rsid w:val="007203A0"/>
    <w:rPr>
      <w:b/>
      <w:bCs/>
      <w:smallCaps/>
      <w:spacing w:val="5"/>
    </w:rPr>
  </w:style>
  <w:style w:type="character" w:customStyle="1" w:styleId="apple-converted-space">
    <w:name w:val="apple-converted-space"/>
    <w:basedOn w:val="DefaultParagraphFont"/>
    <w:rsid w:val="007203A0"/>
  </w:style>
  <w:style w:type="character" w:customStyle="1" w:styleId="yiv0980097780">
    <w:name w:val="yiv0980097780"/>
    <w:rsid w:val="007203A0"/>
  </w:style>
  <w:style w:type="character" w:customStyle="1" w:styleId="Internetlink">
    <w:name w:val="Internet link"/>
    <w:basedOn w:val="DefaultParagraphFont"/>
    <w:rsid w:val="007203A0"/>
    <w:rPr>
      <w:color w:val="0000FF"/>
      <w:u w:val="single"/>
    </w:rPr>
  </w:style>
  <w:style w:type="character" w:styleId="Strong">
    <w:name w:val="Strong"/>
    <w:basedOn w:val="DefaultParagraphFont"/>
    <w:uiPriority w:val="22"/>
    <w:qFormat/>
    <w:rsid w:val="007203A0"/>
    <w:rPr>
      <w:b/>
      <w:bCs/>
    </w:rPr>
  </w:style>
  <w:style w:type="character" w:customStyle="1" w:styleId="Heading1Char">
    <w:name w:val="Heading 1 Char"/>
    <w:basedOn w:val="DefaultParagraphFont"/>
    <w:link w:val="Heading1"/>
    <w:uiPriority w:val="1"/>
    <w:rsid w:val="00BD33D6"/>
    <w:rPr>
      <w:rFonts w:ascii="Calibri" w:eastAsia="Calibri" w:hAnsi="Calibri"/>
      <w:b/>
      <w:bCs/>
      <w:u w:val="single"/>
    </w:rPr>
  </w:style>
  <w:style w:type="character" w:customStyle="1" w:styleId="Heading2Char">
    <w:name w:val="Heading 2 Char"/>
    <w:basedOn w:val="DefaultParagraphFont"/>
    <w:link w:val="Heading2"/>
    <w:uiPriority w:val="1"/>
    <w:rsid w:val="00BD33D6"/>
    <w:rPr>
      <w:rFonts w:ascii="Calibri" w:eastAsia="Calibri" w:hAnsi="Calibri"/>
      <w:b/>
      <w:bCs/>
      <w:i/>
    </w:rPr>
  </w:style>
  <w:style w:type="paragraph" w:styleId="BodyText">
    <w:name w:val="Body Text"/>
    <w:basedOn w:val="Normal"/>
    <w:link w:val="BodyTextChar"/>
    <w:uiPriority w:val="1"/>
    <w:qFormat/>
    <w:rsid w:val="00BD33D6"/>
    <w:pPr>
      <w:widowControl w:val="0"/>
      <w:spacing w:after="0" w:line="240" w:lineRule="auto"/>
      <w:ind w:left="100"/>
    </w:pPr>
    <w:rPr>
      <w:rFonts w:ascii="Calibri" w:eastAsia="Calibri" w:hAnsi="Calibri"/>
    </w:rPr>
  </w:style>
  <w:style w:type="character" w:customStyle="1" w:styleId="BodyTextChar">
    <w:name w:val="Body Text Char"/>
    <w:basedOn w:val="DefaultParagraphFont"/>
    <w:link w:val="BodyText"/>
    <w:uiPriority w:val="1"/>
    <w:rsid w:val="00BD33D6"/>
    <w:rPr>
      <w:rFonts w:ascii="Calibri" w:eastAsia="Calibri" w:hAnsi="Calibri"/>
    </w:rPr>
  </w:style>
  <w:style w:type="paragraph" w:customStyle="1" w:styleId="TableParagraph">
    <w:name w:val="Table Paragraph"/>
    <w:basedOn w:val="Normal"/>
    <w:uiPriority w:val="1"/>
    <w:qFormat/>
    <w:rsid w:val="00BD33D6"/>
    <w:pPr>
      <w:widowControl w:val="0"/>
      <w:spacing w:after="0" w:line="240" w:lineRule="auto"/>
    </w:pPr>
  </w:style>
  <w:style w:type="character" w:styleId="Hyperlink">
    <w:name w:val="Hyperlink"/>
    <w:basedOn w:val="DefaultParagraphFont"/>
    <w:uiPriority w:val="99"/>
    <w:unhideWhenUsed/>
    <w:rsid w:val="003F7C41"/>
    <w:rPr>
      <w:color w:val="D26900" w:themeColor="hyperlink"/>
      <w:u w:val="single"/>
    </w:rPr>
  </w:style>
  <w:style w:type="paragraph" w:styleId="Caption">
    <w:name w:val="caption"/>
    <w:basedOn w:val="Normal"/>
    <w:next w:val="Normal"/>
    <w:uiPriority w:val="35"/>
    <w:unhideWhenUsed/>
    <w:qFormat/>
    <w:rsid w:val="003F7C41"/>
    <w:pPr>
      <w:spacing w:line="240" w:lineRule="auto"/>
    </w:pPr>
    <w:rPr>
      <w:b/>
      <w:bCs/>
      <w:color w:val="AD0101" w:themeColor="accent1"/>
      <w:sz w:val="18"/>
      <w:szCs w:val="18"/>
    </w:rPr>
  </w:style>
  <w:style w:type="character" w:styleId="IntenseEmphasis">
    <w:name w:val="Intense Emphasis"/>
    <w:basedOn w:val="DefaultParagraphFont"/>
    <w:uiPriority w:val="21"/>
    <w:qFormat/>
    <w:rsid w:val="002A05E1"/>
    <w:rPr>
      <w:b/>
      <w:bCs/>
      <w:i/>
      <w:iCs/>
      <w:color w:val="AD0101" w:themeColor="accent1"/>
    </w:rPr>
  </w:style>
  <w:style w:type="paragraph" w:styleId="Title">
    <w:name w:val="Title"/>
    <w:basedOn w:val="Normal"/>
    <w:next w:val="Normal"/>
    <w:link w:val="TitleChar"/>
    <w:uiPriority w:val="10"/>
    <w:qFormat/>
    <w:rsid w:val="002A05E1"/>
    <w:pPr>
      <w:pBdr>
        <w:bottom w:val="single" w:sz="8" w:space="4" w:color="AD0101" w:themeColor="accent1"/>
      </w:pBdr>
      <w:spacing w:after="300" w:line="240" w:lineRule="auto"/>
      <w:contextualSpacing/>
    </w:pPr>
    <w:rPr>
      <w:rFonts w:asciiTheme="majorHAnsi" w:eastAsiaTheme="majorEastAsia" w:hAnsiTheme="majorHAnsi" w:cstheme="majorBidi"/>
      <w:color w:val="232323" w:themeColor="text2" w:themeShade="BF"/>
      <w:spacing w:val="5"/>
      <w:kern w:val="28"/>
      <w:sz w:val="52"/>
      <w:szCs w:val="52"/>
    </w:rPr>
  </w:style>
  <w:style w:type="character" w:customStyle="1" w:styleId="TitleChar">
    <w:name w:val="Title Char"/>
    <w:basedOn w:val="DefaultParagraphFont"/>
    <w:link w:val="Title"/>
    <w:uiPriority w:val="10"/>
    <w:rsid w:val="002A05E1"/>
    <w:rPr>
      <w:rFonts w:asciiTheme="majorHAnsi" w:eastAsiaTheme="majorEastAsia" w:hAnsiTheme="majorHAnsi" w:cstheme="majorBidi"/>
      <w:color w:val="232323" w:themeColor="text2" w:themeShade="BF"/>
      <w:spacing w:val="5"/>
      <w:kern w:val="28"/>
      <w:sz w:val="52"/>
      <w:szCs w:val="52"/>
    </w:rPr>
  </w:style>
  <w:style w:type="character" w:styleId="Emphasis">
    <w:name w:val="Emphasis"/>
    <w:basedOn w:val="DefaultParagraphFont"/>
    <w:uiPriority w:val="20"/>
    <w:qFormat/>
    <w:rsid w:val="002A05E1"/>
    <w:rPr>
      <w:i/>
      <w:iCs/>
    </w:rPr>
  </w:style>
  <w:style w:type="character" w:styleId="CommentReference">
    <w:name w:val="annotation reference"/>
    <w:basedOn w:val="DefaultParagraphFont"/>
    <w:uiPriority w:val="99"/>
    <w:semiHidden/>
    <w:unhideWhenUsed/>
    <w:rsid w:val="00B01A77"/>
    <w:rPr>
      <w:sz w:val="16"/>
      <w:szCs w:val="16"/>
    </w:rPr>
  </w:style>
  <w:style w:type="paragraph" w:styleId="CommentText">
    <w:name w:val="annotation text"/>
    <w:basedOn w:val="Normal"/>
    <w:link w:val="CommentTextChar"/>
    <w:uiPriority w:val="99"/>
    <w:semiHidden/>
    <w:unhideWhenUsed/>
    <w:rsid w:val="00B01A77"/>
    <w:pPr>
      <w:spacing w:line="240" w:lineRule="auto"/>
    </w:pPr>
    <w:rPr>
      <w:sz w:val="20"/>
      <w:szCs w:val="20"/>
    </w:rPr>
  </w:style>
  <w:style w:type="character" w:customStyle="1" w:styleId="CommentTextChar">
    <w:name w:val="Comment Text Char"/>
    <w:basedOn w:val="DefaultParagraphFont"/>
    <w:link w:val="CommentText"/>
    <w:uiPriority w:val="99"/>
    <w:semiHidden/>
    <w:rsid w:val="00B01A77"/>
    <w:rPr>
      <w:sz w:val="20"/>
      <w:szCs w:val="20"/>
    </w:rPr>
  </w:style>
  <w:style w:type="paragraph" w:styleId="CommentSubject">
    <w:name w:val="annotation subject"/>
    <w:basedOn w:val="CommentText"/>
    <w:next w:val="CommentText"/>
    <w:link w:val="CommentSubjectChar"/>
    <w:uiPriority w:val="99"/>
    <w:semiHidden/>
    <w:unhideWhenUsed/>
    <w:rsid w:val="00B01A77"/>
    <w:rPr>
      <w:b/>
      <w:bCs/>
    </w:rPr>
  </w:style>
  <w:style w:type="character" w:customStyle="1" w:styleId="CommentSubjectChar">
    <w:name w:val="Comment Subject Char"/>
    <w:basedOn w:val="CommentTextChar"/>
    <w:link w:val="CommentSubject"/>
    <w:uiPriority w:val="99"/>
    <w:semiHidden/>
    <w:rsid w:val="00B01A77"/>
    <w:rPr>
      <w:b/>
      <w:bCs/>
      <w:sz w:val="20"/>
      <w:szCs w:val="20"/>
    </w:rPr>
  </w:style>
  <w:style w:type="table" w:styleId="TableGrid">
    <w:name w:val="Table Grid"/>
    <w:basedOn w:val="TableNormal"/>
    <w:uiPriority w:val="59"/>
    <w:rsid w:val="00AE38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7F515D"/>
    <w:rPr>
      <w:rFonts w:asciiTheme="majorHAnsi" w:eastAsiaTheme="majorEastAsia" w:hAnsiTheme="majorHAnsi" w:cstheme="majorBidi"/>
      <w:b/>
      <w:bCs/>
      <w:color w:val="AD0101" w:themeColor="accent1"/>
    </w:rPr>
  </w:style>
  <w:style w:type="character" w:customStyle="1" w:styleId="NoSpacingChar">
    <w:name w:val="No Spacing Char"/>
    <w:basedOn w:val="DefaultParagraphFont"/>
    <w:link w:val="NoSpacing"/>
    <w:uiPriority w:val="1"/>
    <w:rsid w:val="00F366F6"/>
  </w:style>
  <w:style w:type="character" w:styleId="FollowedHyperlink">
    <w:name w:val="FollowedHyperlink"/>
    <w:basedOn w:val="DefaultParagraphFont"/>
    <w:uiPriority w:val="99"/>
    <w:semiHidden/>
    <w:unhideWhenUsed/>
    <w:rsid w:val="00141C00"/>
    <w:rPr>
      <w:color w:val="D89243"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chart" Target="charts/chart8.xml"/><Relationship Id="rId3" Type="http://schemas.openxmlformats.org/officeDocument/2006/relationships/styles" Target="styles.xml"/><Relationship Id="rId21" Type="http://schemas.openxmlformats.org/officeDocument/2006/relationships/chart" Target="charts/chart3.xml"/><Relationship Id="rId7" Type="http://schemas.openxmlformats.org/officeDocument/2006/relationships/footnotes" Target="footnotes.xml"/><Relationship Id="rId12" Type="http://schemas.openxmlformats.org/officeDocument/2006/relationships/hyperlink" Target="http://www.kdfug.org" TargetMode="External"/><Relationship Id="rId17" Type="http://schemas.openxmlformats.org/officeDocument/2006/relationships/header" Target="header3.xml"/><Relationship Id="rId25" Type="http://schemas.openxmlformats.org/officeDocument/2006/relationships/chart" Target="charts/chart7.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chart" Target="charts/chart2.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skyourgov.ug" TargetMode="External"/><Relationship Id="rId24" Type="http://schemas.openxmlformats.org/officeDocument/2006/relationships/chart" Target="charts/chart6.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chart" Target="charts/chart5.xml"/><Relationship Id="rId28" Type="http://schemas.openxmlformats.org/officeDocument/2006/relationships/header" Target="header5.xml"/><Relationship Id="rId10" Type="http://schemas.openxmlformats.org/officeDocument/2006/relationships/hyperlink" Target="https://www.amnesty.org/fr/documents/afr54/2162/2015/en/" TargetMode="External"/><Relationship Id="rId19" Type="http://schemas.openxmlformats.org/officeDocument/2006/relationships/chart" Target="charts/chart1.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2.xml"/><Relationship Id="rId22" Type="http://schemas.openxmlformats.org/officeDocument/2006/relationships/chart" Target="charts/chart4.xml"/><Relationship Id="rId27" Type="http://schemas.openxmlformats.org/officeDocument/2006/relationships/header" Target="header4.xml"/><Relationship Id="rId30" Type="http://schemas.openxmlformats.org/officeDocument/2006/relationships/header" Target="header6.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C:\Users\kmwaniki\OD\Main%20Desktop\20th%20OSIEA%20Regional%20Board%20Meeting%20-%20March%202016\Financial%20analyses\DATA%20for%202015%20financial%20analysis%20-%20OSIEA.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C:\Users\kmwaniki\OD\Main%20Desktop\20th%20OSIEA%20Regional%20Board%20Meeting%20-%20March%202016\Financial%20analyses\DATA%20for%202015%20financial%20analysis%20-%20OSIEA%20-%20March%202016%20-%20FINAL.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embeddings/oleObject1.bin"/><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oleObject" Target="../embeddings/oleObject2.bin"/><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oleObject" Target="../embeddings/oleObject3.bin"/><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6.xml"/><Relationship Id="rId2" Type="http://schemas.openxmlformats.org/officeDocument/2006/relationships/package" Target="../embeddings/Microsoft_Excel_Worksheet1.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7.xml"/><Relationship Id="rId2" Type="http://schemas.openxmlformats.org/officeDocument/2006/relationships/oleObject" Target="../embeddings/oleObject4.bin"/><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8.xml"/><Relationship Id="rId2" Type="http://schemas.openxmlformats.org/officeDocument/2006/relationships/oleObject" Target="../embeddings/oleObject5.bin"/><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600"/>
            </a:pPr>
            <a:r>
              <a:rPr lang="en-US" sz="1600" b="1" cap="none" spc="0">
                <a:ln w="952"/>
                <a:gradFill>
                  <a:gsLst>
                    <a:gs pos="0">
                      <a:schemeClr val="accent6">
                        <a:shade val="20000"/>
                        <a:satMod val="200000"/>
                      </a:schemeClr>
                    </a:gs>
                    <a:gs pos="78000">
                      <a:schemeClr val="accent6">
                        <a:tint val="90000"/>
                        <a:shade val="89000"/>
                        <a:satMod val="220000"/>
                      </a:schemeClr>
                    </a:gs>
                    <a:gs pos="100000">
                      <a:schemeClr val="accent6">
                        <a:tint val="12000"/>
                        <a:satMod val="255000"/>
                      </a:schemeClr>
                    </a:gs>
                  </a:gsLst>
                  <a:lin ang="5400000"/>
                </a:gradFill>
                <a:effectLst>
                  <a:innerShdw blurRad="69850" dist="43180" dir="5400000">
                    <a:srgbClr val="000000">
                      <a:alpha val="65000"/>
                    </a:srgbClr>
                  </a:innerShdw>
                </a:effectLst>
              </a:rPr>
              <a:t>OSIEA's 2015 expenses from all sources of funding</a:t>
            </a:r>
            <a:r>
              <a:rPr lang="en-US" sz="1600"/>
              <a:t> </a:t>
            </a:r>
          </a:p>
        </c:rich>
      </c:tx>
      <c:layout>
        <c:manualLayout>
          <c:xMode val="edge"/>
          <c:yMode val="edge"/>
          <c:x val="0.14066341551299846"/>
          <c:y val="3.7513296449454713E-4"/>
        </c:manualLayout>
      </c:layout>
      <c:overlay val="0"/>
    </c:title>
    <c:autoTitleDeleted val="0"/>
    <c:plotArea>
      <c:layout>
        <c:manualLayout>
          <c:layoutTarget val="inner"/>
          <c:xMode val="edge"/>
          <c:yMode val="edge"/>
          <c:x val="0.24440568173908059"/>
          <c:y val="0.18019916244960693"/>
          <c:w val="0.52302136179935388"/>
          <c:h val="0.81969851568065"/>
        </c:manualLayout>
      </c:layout>
      <c:pieChart>
        <c:varyColors val="1"/>
        <c:ser>
          <c:idx val="0"/>
          <c:order val="0"/>
          <c:tx>
            <c:strRef>
              <c:f>'Base data'!$B$10:$B$11</c:f>
              <c:strCache>
                <c:ptCount val="1"/>
                <c:pt idx="0">
                  <c:v>Summary of OSIEA's 2015 expenses from all sources of funding Amount (US$)</c:v>
                </c:pt>
              </c:strCache>
            </c:strRef>
          </c:tx>
          <c:explosion val="22"/>
          <c:dPt>
            <c:idx val="0"/>
            <c:bubble3D val="0"/>
            <c:explosion val="20"/>
          </c:dPt>
          <c:dLbls>
            <c:dLbl>
              <c:idx val="0"/>
              <c:layout>
                <c:manualLayout>
                  <c:x val="-6.591587128052051E-2"/>
                  <c:y val="-0.36844779294674496"/>
                </c:manualLayout>
              </c:layout>
              <c:tx>
                <c:rich>
                  <a:bodyPr/>
                  <a:lstStyle/>
                  <a:p>
                    <a:r>
                      <a:rPr lang="en-US"/>
                      <a:t>Grants
$11,182,377
(62%)</a:t>
                    </a:r>
                  </a:p>
                </c:rich>
              </c:tx>
              <c:dLblPos val="bestFit"/>
              <c:showLegendKey val="0"/>
              <c:showVal val="1"/>
              <c:showCatName val="1"/>
              <c:showSerName val="0"/>
              <c:showPercent val="1"/>
              <c:showBubbleSize val="0"/>
              <c:separator>
</c:separator>
            </c:dLbl>
            <c:dLbl>
              <c:idx val="1"/>
              <c:layout>
                <c:manualLayout>
                  <c:x val="-0.15918254367969994"/>
                  <c:y val="0.13208852534209922"/>
                </c:manualLayout>
              </c:layout>
              <c:tx>
                <c:rich>
                  <a:bodyPr/>
                  <a:lstStyle/>
                  <a:p>
                    <a:r>
                      <a:rPr lang="en-US"/>
                      <a:t>Benefits and compensation
$2,931,429
(16%)</a:t>
                    </a:r>
                  </a:p>
                </c:rich>
              </c:tx>
              <c:dLblPos val="bestFit"/>
              <c:showLegendKey val="0"/>
              <c:showVal val="1"/>
              <c:showCatName val="1"/>
              <c:showSerName val="0"/>
              <c:showPercent val="1"/>
              <c:showBubbleSize val="0"/>
              <c:separator>
</c:separator>
            </c:dLbl>
            <c:dLbl>
              <c:idx val="2"/>
              <c:layout>
                <c:manualLayout>
                  <c:x val="-1.3070292890455776E-2"/>
                  <c:y val="7.1413986920699654E-2"/>
                </c:manualLayout>
              </c:layout>
              <c:tx>
                <c:rich>
                  <a:bodyPr/>
                  <a:lstStyle/>
                  <a:p>
                    <a:r>
                      <a:rPr lang="en-US"/>
                      <a:t>Travel and conferences
$1,830,574
(10%)</a:t>
                    </a:r>
                  </a:p>
                </c:rich>
              </c:tx>
              <c:dLblPos val="bestFit"/>
              <c:showLegendKey val="0"/>
              <c:showVal val="1"/>
              <c:showCatName val="1"/>
              <c:showSerName val="0"/>
              <c:showPercent val="1"/>
              <c:showBubbleSize val="0"/>
              <c:separator>
</c:separator>
            </c:dLbl>
            <c:dLbl>
              <c:idx val="3"/>
              <c:layout>
                <c:manualLayout>
                  <c:x val="-2.1150679098030062E-2"/>
                  <c:y val="2.3100889367246361E-2"/>
                </c:manualLayout>
              </c:layout>
              <c:tx>
                <c:rich>
                  <a:bodyPr/>
                  <a:lstStyle/>
                  <a:p>
                    <a:r>
                      <a:rPr lang="en-US"/>
                      <a:t>Professional fees
$1,337,744
(7%)</a:t>
                    </a:r>
                  </a:p>
                </c:rich>
              </c:tx>
              <c:dLblPos val="bestFit"/>
              <c:showLegendKey val="0"/>
              <c:showVal val="1"/>
              <c:showCatName val="1"/>
              <c:showSerName val="0"/>
              <c:showPercent val="1"/>
              <c:showBubbleSize val="0"/>
              <c:separator>
</c:separator>
            </c:dLbl>
            <c:dLbl>
              <c:idx val="4"/>
              <c:layout>
                <c:manualLayout>
                  <c:x val="-2.7891003915772664E-2"/>
                  <c:y val="8.1243217031888609E-2"/>
                </c:manualLayout>
              </c:layout>
              <c:tx>
                <c:rich>
                  <a:bodyPr/>
                  <a:lstStyle/>
                  <a:p>
                    <a:r>
                      <a:rPr lang="en-US"/>
                      <a:t>Others (rent, communications, etc)
$852,466
(5%)</a:t>
                    </a:r>
                  </a:p>
                </c:rich>
              </c:tx>
              <c:dLblPos val="bestFit"/>
              <c:showLegendKey val="0"/>
              <c:showVal val="1"/>
              <c:showCatName val="1"/>
              <c:showSerName val="0"/>
              <c:showPercent val="1"/>
              <c:showBubbleSize val="0"/>
              <c:separator>
</c:separator>
            </c:dLbl>
            <c:numFmt formatCode="General" sourceLinked="0"/>
            <c:dLblPos val="bestFit"/>
            <c:showLegendKey val="0"/>
            <c:showVal val="1"/>
            <c:showCatName val="1"/>
            <c:showSerName val="0"/>
            <c:showPercent val="1"/>
            <c:showBubbleSize val="0"/>
            <c:separator>
</c:separator>
            <c:showLeaderLines val="1"/>
          </c:dLbls>
          <c:cat>
            <c:strRef>
              <c:f>'Base data'!$A$12:$A$16</c:f>
              <c:strCache>
                <c:ptCount val="5"/>
                <c:pt idx="0">
                  <c:v>Grants</c:v>
                </c:pt>
                <c:pt idx="1">
                  <c:v>Benefits and compensation</c:v>
                </c:pt>
                <c:pt idx="2">
                  <c:v>Travel and conferences</c:v>
                </c:pt>
                <c:pt idx="3">
                  <c:v>Professional fees</c:v>
                </c:pt>
                <c:pt idx="4">
                  <c:v>Others (rent, communications, etc)</c:v>
                </c:pt>
              </c:strCache>
            </c:strRef>
          </c:cat>
          <c:val>
            <c:numRef>
              <c:f>'Base data'!$B$12:$B$16</c:f>
              <c:numCache>
                <c:formatCode>#,##0</c:formatCode>
                <c:ptCount val="5"/>
                <c:pt idx="0">
                  <c:v>11182377</c:v>
                </c:pt>
                <c:pt idx="1">
                  <c:v>2931429</c:v>
                </c:pt>
                <c:pt idx="2">
                  <c:v>1830574</c:v>
                </c:pt>
                <c:pt idx="3">
                  <c:v>1337744</c:v>
                </c:pt>
                <c:pt idx="4">
                  <c:v>852466</c:v>
                </c:pt>
              </c:numCache>
            </c:numRef>
          </c:val>
        </c:ser>
        <c:dLbls>
          <c:showLegendKey val="0"/>
          <c:showVal val="0"/>
          <c:showCatName val="0"/>
          <c:showSerName val="0"/>
          <c:showPercent val="0"/>
          <c:showBubbleSize val="0"/>
          <c:showLeaderLines val="1"/>
        </c:dLbls>
        <c:firstSliceAng val="110"/>
      </c:pieChart>
    </c:plotArea>
    <c:plotVisOnly val="1"/>
    <c:dispBlanksAs val="gap"/>
    <c:showDLblsOverMax val="0"/>
  </c:chart>
  <c:spPr>
    <a:ln>
      <a:noFill/>
    </a:ln>
  </c:sp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7855311775348468"/>
          <c:y val="0.13385260004453173"/>
          <c:w val="0.50330385886230244"/>
          <c:h val="0.79959327706144701"/>
        </c:manualLayout>
      </c:layout>
      <c:pieChart>
        <c:varyColors val="1"/>
        <c:ser>
          <c:idx val="0"/>
          <c:order val="0"/>
          <c:explosion val="15"/>
          <c:dLbls>
            <c:dLbl>
              <c:idx val="0"/>
              <c:layout>
                <c:manualLayout>
                  <c:x val="0.21475133569468866"/>
                  <c:y val="-0.22201161872760763"/>
                </c:manualLayout>
              </c:layout>
              <c:tx>
                <c:rich>
                  <a:bodyPr/>
                  <a:lstStyle/>
                  <a:p>
                    <a:r>
                      <a:rPr lang="en-US"/>
                      <a:t>OSIEA's core budget
$12,917,476
67%</a:t>
                    </a:r>
                  </a:p>
                </c:rich>
              </c:tx>
              <c:showLegendKey val="0"/>
              <c:showVal val="1"/>
              <c:showCatName val="1"/>
              <c:showSerName val="0"/>
              <c:showPercent val="1"/>
              <c:showBubbleSize val="0"/>
              <c:separator>
</c:separator>
            </c:dLbl>
            <c:dLbl>
              <c:idx val="1"/>
              <c:layout>
                <c:manualLayout>
                  <c:x val="-9.1062355069693957E-2"/>
                  <c:y val="0.22839476684951657"/>
                </c:manualLayout>
              </c:layout>
              <c:tx>
                <c:rich>
                  <a:bodyPr/>
                  <a:lstStyle/>
                  <a:p>
                    <a:r>
                      <a:rPr lang="en-US"/>
                      <a:t>Network program contributions
$4,993,189
26%</a:t>
                    </a:r>
                  </a:p>
                </c:rich>
              </c:tx>
              <c:showLegendKey val="0"/>
              <c:showVal val="1"/>
              <c:showCatName val="1"/>
              <c:showSerName val="0"/>
              <c:showPercent val="1"/>
              <c:showBubbleSize val="0"/>
              <c:separator>
</c:separator>
            </c:dLbl>
            <c:dLbl>
              <c:idx val="2"/>
              <c:layout>
                <c:manualLayout>
                  <c:x val="2.1301803294005724E-2"/>
                  <c:y val="0.14460498350302614"/>
                </c:manualLayout>
              </c:layout>
              <c:tx>
                <c:rich>
                  <a:bodyPr/>
                  <a:lstStyle/>
                  <a:p>
                    <a:r>
                      <a:rPr lang="en-US"/>
                      <a:t>Shared frameworks &amp; reserve funds*
$1,474,145
8%</a:t>
                    </a:r>
                  </a:p>
                </c:rich>
              </c:tx>
              <c:showLegendKey val="0"/>
              <c:showVal val="1"/>
              <c:showCatName val="1"/>
              <c:showSerName val="0"/>
              <c:showPercent val="1"/>
              <c:showBubbleSize val="0"/>
              <c:separator>
</c:separator>
            </c:dLbl>
            <c:numFmt formatCode="0%" sourceLinked="0"/>
            <c:showLegendKey val="0"/>
            <c:showVal val="1"/>
            <c:showCatName val="1"/>
            <c:showSerName val="0"/>
            <c:showPercent val="1"/>
            <c:showBubbleSize val="0"/>
            <c:separator>
</c:separator>
            <c:showLeaderLines val="0"/>
          </c:dLbls>
          <c:cat>
            <c:strRef>
              <c:f>'Base data'!$A$4:$A$6</c:f>
              <c:strCache>
                <c:ptCount val="3"/>
                <c:pt idx="0">
                  <c:v>OSIEA's core budget</c:v>
                </c:pt>
                <c:pt idx="1">
                  <c:v>Network program contributions</c:v>
                </c:pt>
                <c:pt idx="2">
                  <c:v>Shared frameworks &amp; reserve funds*</c:v>
                </c:pt>
              </c:strCache>
            </c:strRef>
          </c:cat>
          <c:val>
            <c:numRef>
              <c:f>'Base data'!$B$4:$B$6</c:f>
              <c:numCache>
                <c:formatCode>#,##0</c:formatCode>
                <c:ptCount val="3"/>
                <c:pt idx="0">
                  <c:v>12917476</c:v>
                </c:pt>
                <c:pt idx="1">
                  <c:v>4993189</c:v>
                </c:pt>
                <c:pt idx="2">
                  <c:v>1474145</c:v>
                </c:pt>
              </c:numCache>
            </c:numRef>
          </c:val>
        </c:ser>
        <c:dLbls>
          <c:showLegendKey val="0"/>
          <c:showVal val="0"/>
          <c:showCatName val="0"/>
          <c:showSerName val="0"/>
          <c:showPercent val="0"/>
          <c:showBubbleSize val="0"/>
          <c:showLeaderLines val="0"/>
        </c:dLbls>
        <c:firstSliceAng val="50"/>
      </c:pieChart>
    </c:plotArea>
    <c:plotVisOnly val="1"/>
    <c:dispBlanksAs val="gap"/>
    <c:showDLblsOverMax val="0"/>
  </c:chart>
  <c:spPr>
    <a:ln>
      <a:noFill/>
    </a:ln>
  </c:sp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600" b="1" cap="none" spc="0">
                <a:ln w="952"/>
                <a:gradFill>
                  <a:gsLst>
                    <a:gs pos="0">
                      <a:schemeClr val="accent6">
                        <a:shade val="20000"/>
                        <a:satMod val="200000"/>
                      </a:schemeClr>
                    </a:gs>
                    <a:gs pos="78000">
                      <a:schemeClr val="accent6">
                        <a:tint val="90000"/>
                        <a:shade val="89000"/>
                        <a:satMod val="220000"/>
                      </a:schemeClr>
                    </a:gs>
                    <a:gs pos="100000">
                      <a:schemeClr val="accent6">
                        <a:tint val="12000"/>
                        <a:satMod val="255000"/>
                      </a:schemeClr>
                    </a:gs>
                  </a:gsLst>
                  <a:lin ang="5400000"/>
                </a:gradFill>
                <a:effectLst>
                  <a:innerShdw blurRad="69850" dist="43180" dir="5400000">
                    <a:srgbClr val="000000">
                      <a:alpha val="65000"/>
                    </a:srgbClr>
                  </a:innerShdw>
                </a:effectLst>
              </a:defRPr>
            </a:pPr>
            <a:r>
              <a:rPr lang="en-US" sz="1600" b="1" cap="none" spc="0">
                <a:ln w="952"/>
                <a:gradFill>
                  <a:gsLst>
                    <a:gs pos="0">
                      <a:schemeClr val="accent6">
                        <a:shade val="20000"/>
                        <a:satMod val="200000"/>
                      </a:schemeClr>
                    </a:gs>
                    <a:gs pos="78000">
                      <a:schemeClr val="accent6">
                        <a:tint val="90000"/>
                        <a:shade val="89000"/>
                        <a:satMod val="220000"/>
                      </a:schemeClr>
                    </a:gs>
                    <a:gs pos="100000">
                      <a:schemeClr val="accent6">
                        <a:tint val="12000"/>
                        <a:satMod val="255000"/>
                      </a:schemeClr>
                    </a:gs>
                  </a:gsLst>
                  <a:lin ang="5400000"/>
                </a:gradFill>
                <a:effectLst>
                  <a:innerShdw blurRad="69850" dist="43180" dir="5400000">
                    <a:srgbClr val="000000">
                      <a:alpha val="65000"/>
                    </a:srgbClr>
                  </a:innerShdw>
                </a:effectLst>
              </a:rPr>
              <a:t>OSIEA's 2015 core budget expenses</a:t>
            </a:r>
          </a:p>
        </c:rich>
      </c:tx>
      <c:layout>
        <c:manualLayout>
          <c:xMode val="edge"/>
          <c:yMode val="edge"/>
          <c:x val="0.23076597992604331"/>
          <c:y val="0"/>
        </c:manualLayout>
      </c:layout>
      <c:overlay val="0"/>
    </c:title>
    <c:autoTitleDeleted val="0"/>
    <c:view3D>
      <c:rotX val="30"/>
      <c:rotY val="0"/>
      <c:rAngAx val="0"/>
      <c:perspective val="0"/>
    </c:view3D>
    <c:floor>
      <c:thickness val="0"/>
    </c:floor>
    <c:sideWall>
      <c:thickness val="0"/>
    </c:sideWall>
    <c:backWall>
      <c:thickness val="0"/>
    </c:backWall>
    <c:plotArea>
      <c:layout>
        <c:manualLayout>
          <c:layoutTarget val="inner"/>
          <c:xMode val="edge"/>
          <c:yMode val="edge"/>
          <c:x val="7.5705687343757155E-2"/>
          <c:y val="0.19047894779169317"/>
          <c:w val="0.86743618220464125"/>
          <c:h val="0.71603535630469595"/>
        </c:manualLayout>
      </c:layout>
      <c:pie3DChart>
        <c:varyColors val="1"/>
        <c:ser>
          <c:idx val="0"/>
          <c:order val="0"/>
          <c:explosion val="45"/>
          <c:dPt>
            <c:idx val="0"/>
            <c:bubble3D val="0"/>
            <c:explosion val="9"/>
          </c:dPt>
          <c:dPt>
            <c:idx val="1"/>
            <c:bubble3D val="0"/>
            <c:explosion val="35"/>
          </c:dPt>
          <c:dPt>
            <c:idx val="2"/>
            <c:bubble3D val="0"/>
            <c:explosion val="33"/>
          </c:dPt>
          <c:dPt>
            <c:idx val="3"/>
            <c:bubble3D val="0"/>
            <c:explosion val="32"/>
          </c:dPt>
          <c:dLbls>
            <c:dLbl>
              <c:idx val="0"/>
              <c:layout>
                <c:manualLayout>
                  <c:x val="-5.0907321212423723E-2"/>
                  <c:y val="-0.3110427770344863"/>
                </c:manualLayout>
              </c:layout>
              <c:tx>
                <c:rich>
                  <a:bodyPr/>
                  <a:lstStyle/>
                  <a:p>
                    <a:r>
                      <a:rPr lang="en-US"/>
                      <a:t>Direct grants
$6,908,665</a:t>
                    </a:r>
                  </a:p>
                  <a:p>
                    <a:r>
                      <a:rPr lang="en-US"/>
                      <a:t>(57%)</a:t>
                    </a:r>
                  </a:p>
                </c:rich>
              </c:tx>
              <c:showLegendKey val="0"/>
              <c:showVal val="1"/>
              <c:showCatName val="1"/>
              <c:showSerName val="0"/>
              <c:showPercent val="0"/>
              <c:showBubbleSize val="0"/>
              <c:separator>
</c:separator>
            </c:dLbl>
            <c:dLbl>
              <c:idx val="1"/>
              <c:layout>
                <c:manualLayout>
                  <c:x val="5.852322408923144E-2"/>
                  <c:y val="5.9587465111529646E-2"/>
                </c:manualLayout>
              </c:layout>
              <c:tx>
                <c:rich>
                  <a:bodyPr/>
                  <a:lstStyle/>
                  <a:p>
                    <a:r>
                      <a:rPr lang="en-US"/>
                      <a:t>Operational grants
$1,182,665</a:t>
                    </a:r>
                  </a:p>
                  <a:p>
                    <a:r>
                      <a:rPr lang="en-US"/>
                      <a:t>(10%)</a:t>
                    </a:r>
                  </a:p>
                </c:rich>
              </c:tx>
              <c:showLegendKey val="0"/>
              <c:showVal val="1"/>
              <c:showCatName val="1"/>
              <c:showSerName val="0"/>
              <c:showPercent val="0"/>
              <c:showBubbleSize val="0"/>
              <c:separator>
</c:separator>
            </c:dLbl>
            <c:dLbl>
              <c:idx val="2"/>
              <c:layout>
                <c:manualLayout>
                  <c:x val="1.9366834296267641E-3"/>
                  <c:y val="-7.4006097427236642E-2"/>
                </c:manualLayout>
              </c:layout>
              <c:tx>
                <c:rich>
                  <a:bodyPr/>
                  <a:lstStyle/>
                  <a:p>
                    <a:r>
                      <a:rPr lang="en-US"/>
                      <a:t>Program administration
$1,146,442</a:t>
                    </a:r>
                  </a:p>
                  <a:p>
                    <a:r>
                      <a:rPr lang="en-US"/>
                      <a:t>(9%)</a:t>
                    </a:r>
                  </a:p>
                </c:rich>
              </c:tx>
              <c:showLegendKey val="0"/>
              <c:showVal val="1"/>
              <c:showCatName val="1"/>
              <c:showSerName val="0"/>
              <c:showPercent val="0"/>
              <c:showBubbleSize val="0"/>
              <c:separator>
</c:separator>
            </c:dLbl>
            <c:dLbl>
              <c:idx val="3"/>
              <c:layout>
                <c:manualLayout>
                  <c:x val="-1.7369421532292616E-2"/>
                  <c:y val="5.717895290943785E-2"/>
                </c:manualLayout>
              </c:layout>
              <c:tx>
                <c:rich>
                  <a:bodyPr/>
                  <a:lstStyle/>
                  <a:p>
                    <a:r>
                      <a:rPr lang="en-US"/>
                      <a:t>General administration/</a:t>
                    </a:r>
                  </a:p>
                  <a:p>
                    <a:r>
                      <a:rPr lang="en-US"/>
                      <a:t>central programs
$2,866,786</a:t>
                    </a:r>
                  </a:p>
                  <a:p>
                    <a:r>
                      <a:rPr lang="en-US"/>
                      <a:t>(24%)</a:t>
                    </a:r>
                  </a:p>
                </c:rich>
              </c:tx>
              <c:showLegendKey val="0"/>
              <c:showVal val="1"/>
              <c:showCatName val="1"/>
              <c:showSerName val="0"/>
              <c:showPercent val="0"/>
              <c:showBubbleSize val="0"/>
              <c:separator>
</c:separator>
            </c:dLbl>
            <c:numFmt formatCode="#,##0" sourceLinked="0"/>
            <c:showLegendKey val="0"/>
            <c:showVal val="1"/>
            <c:showCatName val="1"/>
            <c:showSerName val="0"/>
            <c:showPercent val="0"/>
            <c:showBubbleSize val="0"/>
            <c:separator>
</c:separator>
            <c:showLeaderLines val="0"/>
          </c:dLbls>
          <c:cat>
            <c:strRef>
              <c:f>'Base data'!$A$23:$A$26</c:f>
              <c:strCache>
                <c:ptCount val="4"/>
                <c:pt idx="0">
                  <c:v>Direct grants</c:v>
                </c:pt>
                <c:pt idx="1">
                  <c:v>Operational grants</c:v>
                </c:pt>
                <c:pt idx="2">
                  <c:v>Program administration</c:v>
                </c:pt>
                <c:pt idx="3">
                  <c:v>General administration/central programs</c:v>
                </c:pt>
              </c:strCache>
            </c:strRef>
          </c:cat>
          <c:val>
            <c:numRef>
              <c:f>'Base data'!$B$23:$B$26</c:f>
              <c:numCache>
                <c:formatCode>#,##0</c:formatCode>
                <c:ptCount val="4"/>
                <c:pt idx="0">
                  <c:v>6908665</c:v>
                </c:pt>
                <c:pt idx="1">
                  <c:v>1182665</c:v>
                </c:pt>
                <c:pt idx="2">
                  <c:v>1146442</c:v>
                </c:pt>
                <c:pt idx="3">
                  <c:v>2866786</c:v>
                </c:pt>
              </c:numCache>
            </c:numRef>
          </c:val>
        </c:ser>
        <c:dLbls>
          <c:showLegendKey val="0"/>
          <c:showVal val="0"/>
          <c:showCatName val="0"/>
          <c:showSerName val="0"/>
          <c:showPercent val="0"/>
          <c:showBubbleSize val="0"/>
          <c:showLeaderLines val="0"/>
        </c:dLbls>
      </c:pie3DChart>
    </c:plotArea>
    <c:plotVisOnly val="1"/>
    <c:dispBlanksAs val="gap"/>
    <c:showDLblsOverMax val="0"/>
  </c:chart>
  <c:spPr>
    <a:ln>
      <a:noFill/>
    </a:ln>
  </c:sp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600" b="1" cap="none" spc="0">
                <a:ln w="952"/>
                <a:gradFill>
                  <a:gsLst>
                    <a:gs pos="0">
                      <a:schemeClr val="accent6">
                        <a:shade val="20000"/>
                        <a:satMod val="200000"/>
                      </a:schemeClr>
                    </a:gs>
                    <a:gs pos="78000">
                      <a:schemeClr val="accent6">
                        <a:tint val="90000"/>
                        <a:shade val="89000"/>
                        <a:satMod val="220000"/>
                      </a:schemeClr>
                    </a:gs>
                    <a:gs pos="100000">
                      <a:schemeClr val="accent6">
                        <a:tint val="12000"/>
                        <a:satMod val="255000"/>
                      </a:schemeClr>
                    </a:gs>
                  </a:gsLst>
                  <a:lin ang="5400000"/>
                </a:gradFill>
                <a:effectLst>
                  <a:innerShdw blurRad="69850" dist="43180" dir="5400000">
                    <a:srgbClr val="000000">
                      <a:alpha val="65000"/>
                    </a:srgbClr>
                  </a:innerShdw>
                </a:effectLst>
              </a:defRPr>
            </a:pPr>
            <a:r>
              <a:rPr lang="en-US" sz="1600" b="1" cap="none" spc="0">
                <a:ln w="952"/>
                <a:gradFill>
                  <a:gsLst>
                    <a:gs pos="0">
                      <a:schemeClr val="accent6">
                        <a:shade val="20000"/>
                        <a:satMod val="200000"/>
                      </a:schemeClr>
                    </a:gs>
                    <a:gs pos="78000">
                      <a:schemeClr val="accent6">
                        <a:tint val="90000"/>
                        <a:shade val="89000"/>
                        <a:satMod val="220000"/>
                      </a:schemeClr>
                    </a:gs>
                    <a:gs pos="100000">
                      <a:schemeClr val="accent6">
                        <a:tint val="12000"/>
                        <a:satMod val="255000"/>
                      </a:schemeClr>
                    </a:gs>
                  </a:gsLst>
                  <a:lin ang="5400000"/>
                </a:gradFill>
                <a:effectLst>
                  <a:innerShdw blurRad="69850" dist="43180" dir="5400000">
                    <a:srgbClr val="000000">
                      <a:alpha val="65000"/>
                    </a:srgbClr>
                  </a:innerShdw>
                </a:effectLst>
              </a:rPr>
              <a:t>OSIEA's overall 2015 expenses </a:t>
            </a:r>
            <a:r>
              <a:rPr lang="en-US" sz="1600" b="1" i="0" u="none" strike="noStrike" cap="none" baseline="0">
                <a:effectLst>
                  <a:innerShdw blurRad="69850" dist="43180" dir="5400000">
                    <a:srgbClr val="000000">
                      <a:alpha val="65000"/>
                    </a:srgbClr>
                  </a:innerShdw>
                </a:effectLst>
              </a:rPr>
              <a:t>per program</a:t>
            </a:r>
            <a:endParaRPr lang="en-US" sz="1600" b="1" cap="none" spc="0">
              <a:ln w="952"/>
              <a:gradFill>
                <a:gsLst>
                  <a:gs pos="0">
                    <a:schemeClr val="accent6">
                      <a:shade val="20000"/>
                      <a:satMod val="200000"/>
                    </a:schemeClr>
                  </a:gs>
                  <a:gs pos="78000">
                    <a:schemeClr val="accent6">
                      <a:tint val="90000"/>
                      <a:shade val="89000"/>
                      <a:satMod val="220000"/>
                    </a:schemeClr>
                  </a:gs>
                  <a:gs pos="100000">
                    <a:schemeClr val="accent6">
                      <a:tint val="12000"/>
                      <a:satMod val="255000"/>
                    </a:schemeClr>
                  </a:gs>
                </a:gsLst>
                <a:lin ang="5400000"/>
              </a:gradFill>
              <a:effectLst>
                <a:innerShdw blurRad="69850" dist="43180" dir="5400000">
                  <a:srgbClr val="000000">
                    <a:alpha val="65000"/>
                  </a:srgbClr>
                </a:innerShdw>
              </a:effectLst>
            </a:endParaRPr>
          </a:p>
          <a:p>
            <a:pPr>
              <a:defRPr sz="1600" b="1" cap="none" spc="0">
                <a:ln w="952"/>
                <a:gradFill>
                  <a:gsLst>
                    <a:gs pos="0">
                      <a:schemeClr val="accent6">
                        <a:shade val="20000"/>
                        <a:satMod val="200000"/>
                      </a:schemeClr>
                    </a:gs>
                    <a:gs pos="78000">
                      <a:schemeClr val="accent6">
                        <a:tint val="90000"/>
                        <a:shade val="89000"/>
                        <a:satMod val="220000"/>
                      </a:schemeClr>
                    </a:gs>
                    <a:gs pos="100000">
                      <a:schemeClr val="accent6">
                        <a:tint val="12000"/>
                        <a:satMod val="255000"/>
                      </a:schemeClr>
                    </a:gs>
                  </a:gsLst>
                  <a:lin ang="5400000"/>
                </a:gradFill>
                <a:effectLst>
                  <a:innerShdw blurRad="69850" dist="43180" dir="5400000">
                    <a:srgbClr val="000000">
                      <a:alpha val="65000"/>
                    </a:srgbClr>
                  </a:innerShdw>
                </a:effectLst>
              </a:defRPr>
            </a:pPr>
            <a:r>
              <a:rPr lang="en-US" sz="1600" b="1" cap="none" spc="0">
                <a:ln w="952"/>
                <a:gradFill>
                  <a:gsLst>
                    <a:gs pos="0">
                      <a:schemeClr val="accent6">
                        <a:shade val="20000"/>
                        <a:satMod val="200000"/>
                      </a:schemeClr>
                    </a:gs>
                    <a:gs pos="78000">
                      <a:schemeClr val="accent6">
                        <a:tint val="90000"/>
                        <a:shade val="89000"/>
                        <a:satMod val="220000"/>
                      </a:schemeClr>
                    </a:gs>
                    <a:gs pos="100000">
                      <a:schemeClr val="accent6">
                        <a:tint val="12000"/>
                        <a:satMod val="255000"/>
                      </a:schemeClr>
                    </a:gs>
                  </a:gsLst>
                  <a:lin ang="5400000"/>
                </a:gradFill>
                <a:effectLst>
                  <a:innerShdw blurRad="69850" dist="43180" dir="5400000">
                    <a:srgbClr val="000000">
                      <a:alpha val="65000"/>
                    </a:srgbClr>
                  </a:innerShdw>
                </a:effectLst>
              </a:rPr>
              <a:t>(from OSIEA core budget and NWPs) </a:t>
            </a:r>
          </a:p>
        </c:rich>
      </c:tx>
      <c:layout>
        <c:manualLayout>
          <c:xMode val="edge"/>
          <c:yMode val="edge"/>
          <c:x val="0.19239433780454862"/>
          <c:y val="3.3892744339160993E-2"/>
        </c:manualLayout>
      </c:layout>
      <c:overlay val="0"/>
    </c:title>
    <c:autoTitleDeleted val="0"/>
    <c:view3D>
      <c:rotX val="20"/>
      <c:rotY val="0"/>
      <c:rAngAx val="0"/>
      <c:perspective val="0"/>
    </c:view3D>
    <c:floor>
      <c:thickness val="0"/>
    </c:floor>
    <c:sideWall>
      <c:thickness val="0"/>
    </c:sideWall>
    <c:backWall>
      <c:thickness val="0"/>
    </c:backWall>
    <c:plotArea>
      <c:layout>
        <c:manualLayout>
          <c:layoutTarget val="inner"/>
          <c:xMode val="edge"/>
          <c:yMode val="edge"/>
          <c:x val="0.13572669644364632"/>
          <c:y val="0.27068861425434404"/>
          <c:w val="0.74788568095654706"/>
          <c:h val="0.59792065726883481"/>
        </c:manualLayout>
      </c:layout>
      <c:pie3DChart>
        <c:varyColors val="1"/>
        <c:ser>
          <c:idx val="0"/>
          <c:order val="0"/>
          <c:tx>
            <c:strRef>
              <c:f>'Base data'!$B$31:$B$32</c:f>
              <c:strCache>
                <c:ptCount val="1"/>
                <c:pt idx="0">
                  <c:v>OSIEA's total 2015 expenses (from both OSIEA core budget and NWPs) per program Amount (US$)</c:v>
                </c:pt>
              </c:strCache>
            </c:strRef>
          </c:tx>
          <c:explosion val="25"/>
          <c:dPt>
            <c:idx val="10"/>
            <c:bubble3D val="0"/>
            <c:explosion val="24"/>
          </c:dPt>
          <c:dLbls>
            <c:dLbl>
              <c:idx val="0"/>
              <c:layout>
                <c:manualLayout>
                  <c:x val="0.10136452241715399"/>
                  <c:y val="-7.0336391437308868E-2"/>
                </c:manualLayout>
              </c:layout>
              <c:tx>
                <c:rich>
                  <a:bodyPr/>
                  <a:lstStyle/>
                  <a:p>
                    <a:r>
                      <a:rPr lang="en-US"/>
                      <a:t>Kenya program</a:t>
                    </a:r>
                  </a:p>
                  <a:p>
                    <a:r>
                      <a:rPr lang="en-US"/>
                      <a:t>$2,723,860</a:t>
                    </a:r>
                    <a:r>
                      <a:rPr lang="en-US" baseline="0"/>
                      <a:t> (</a:t>
                    </a:r>
                    <a:r>
                      <a:rPr lang="en-US"/>
                      <a:t>15%)</a:t>
                    </a:r>
                  </a:p>
                </c:rich>
              </c:tx>
              <c:dLblPos val="bestFit"/>
              <c:showLegendKey val="0"/>
              <c:showVal val="1"/>
              <c:showCatName val="1"/>
              <c:showSerName val="0"/>
              <c:showPercent val="1"/>
              <c:showBubbleSize val="0"/>
            </c:dLbl>
            <c:dLbl>
              <c:idx val="1"/>
              <c:layout>
                <c:manualLayout>
                  <c:x val="0"/>
                  <c:y val="-3.5972018328217448E-2"/>
                </c:manualLayout>
              </c:layout>
              <c:tx>
                <c:rich>
                  <a:bodyPr/>
                  <a:lstStyle/>
                  <a:p>
                    <a:r>
                      <a:rPr lang="en-US"/>
                      <a:t>South Sudan program </a:t>
                    </a:r>
                  </a:p>
                  <a:p>
                    <a:r>
                      <a:rPr lang="en-US"/>
                      <a:t>$1,283,865 (7%)</a:t>
                    </a:r>
                  </a:p>
                </c:rich>
              </c:tx>
              <c:dLblPos val="bestFit"/>
              <c:showLegendKey val="0"/>
              <c:showVal val="1"/>
              <c:showCatName val="1"/>
              <c:showSerName val="0"/>
              <c:showPercent val="1"/>
              <c:showBubbleSize val="0"/>
            </c:dLbl>
            <c:dLbl>
              <c:idx val="2"/>
              <c:layout>
                <c:manualLayout>
                  <c:x val="0"/>
                  <c:y val="0.10349081364829396"/>
                </c:manualLayout>
              </c:layout>
              <c:tx>
                <c:rich>
                  <a:bodyPr/>
                  <a:lstStyle/>
                  <a:p>
                    <a:r>
                      <a:rPr lang="en-US"/>
                      <a:t>Sudan program </a:t>
                    </a:r>
                  </a:p>
                  <a:p>
                    <a:r>
                      <a:rPr lang="en-US"/>
                      <a:t>$1,314,227 (7%)</a:t>
                    </a:r>
                  </a:p>
                </c:rich>
              </c:tx>
              <c:dLblPos val="bestFit"/>
              <c:showLegendKey val="0"/>
              <c:showVal val="1"/>
              <c:showCatName val="1"/>
              <c:showSerName val="0"/>
              <c:showPercent val="1"/>
              <c:showBubbleSize val="0"/>
            </c:dLbl>
            <c:dLbl>
              <c:idx val="3"/>
              <c:layout>
                <c:manualLayout>
                  <c:x val="-8.1871345029239762E-2"/>
                  <c:y val="0.17954357400240223"/>
                </c:manualLayout>
              </c:layout>
              <c:tx>
                <c:rich>
                  <a:bodyPr/>
                  <a:lstStyle/>
                  <a:p>
                    <a:r>
                      <a:rPr lang="en-US"/>
                      <a:t>Uganda program </a:t>
                    </a:r>
                  </a:p>
                  <a:p>
                    <a:r>
                      <a:rPr lang="en-US"/>
                      <a:t>$1,619,350 (9%)</a:t>
                    </a:r>
                  </a:p>
                </c:rich>
              </c:tx>
              <c:dLblPos val="bestFit"/>
              <c:showLegendKey val="0"/>
              <c:showVal val="1"/>
              <c:showCatName val="1"/>
              <c:showSerName val="0"/>
              <c:showPercent val="1"/>
              <c:showBubbleSize val="0"/>
            </c:dLbl>
            <c:dLbl>
              <c:idx val="4"/>
              <c:layout>
                <c:manualLayout>
                  <c:x val="-0.14035087719298245"/>
                  <c:y val="0.12962520574758662"/>
                </c:manualLayout>
              </c:layout>
              <c:tx>
                <c:rich>
                  <a:bodyPr/>
                  <a:lstStyle/>
                  <a:p>
                    <a:r>
                      <a:rPr lang="en-US"/>
                      <a:t>Tanzania program</a:t>
                    </a:r>
                  </a:p>
                  <a:p>
                    <a:r>
                      <a:rPr lang="en-US"/>
                      <a:t>$1,277,383 (7%)</a:t>
                    </a:r>
                  </a:p>
                </c:rich>
              </c:tx>
              <c:dLblPos val="bestFit"/>
              <c:showLegendKey val="0"/>
              <c:showVal val="1"/>
              <c:showCatName val="1"/>
              <c:showSerName val="0"/>
              <c:showPercent val="1"/>
              <c:showBubbleSize val="0"/>
            </c:dLbl>
            <c:dLbl>
              <c:idx val="5"/>
              <c:layout>
                <c:manualLayout>
                  <c:x val="0.15789473684210525"/>
                  <c:y val="9.4186902133922112E-2"/>
                </c:manualLayout>
              </c:layout>
              <c:tx>
                <c:rich>
                  <a:bodyPr/>
                  <a:lstStyle/>
                  <a:p>
                    <a:r>
                      <a:rPr lang="en-US"/>
                      <a:t>Health &amp; rights program</a:t>
                    </a:r>
                    <a:r>
                      <a:rPr lang="en-US" baseline="0"/>
                      <a:t> </a:t>
                    </a:r>
                  </a:p>
                  <a:p>
                    <a:r>
                      <a:rPr lang="en-US" baseline="0"/>
                      <a:t>$</a:t>
                    </a:r>
                    <a:r>
                      <a:rPr lang="en-US"/>
                      <a:t>3,821,483 (21%)</a:t>
                    </a:r>
                  </a:p>
                </c:rich>
              </c:tx>
              <c:dLblPos val="bestFit"/>
              <c:showLegendKey val="0"/>
              <c:showVal val="1"/>
              <c:showCatName val="1"/>
              <c:showSerName val="0"/>
              <c:showPercent val="1"/>
              <c:showBubbleSize val="0"/>
            </c:dLbl>
            <c:dLbl>
              <c:idx val="6"/>
              <c:layout>
                <c:manualLayout>
                  <c:x val="0.14040199123581168"/>
                  <c:y val="0.14282063259041772"/>
                </c:manualLayout>
              </c:layout>
              <c:tx>
                <c:rich>
                  <a:bodyPr/>
                  <a:lstStyle/>
                  <a:p>
                    <a:r>
                      <a:rPr lang="en-US"/>
                      <a:t>Disability rights program </a:t>
                    </a:r>
                  </a:p>
                  <a:p>
                    <a:r>
                      <a:rPr lang="en-US"/>
                      <a:t>$975,911 (6%)</a:t>
                    </a:r>
                  </a:p>
                </c:rich>
              </c:tx>
              <c:dLblPos val="bestFit"/>
              <c:showLegendKey val="0"/>
              <c:showVal val="1"/>
              <c:showCatName val="1"/>
              <c:showSerName val="0"/>
              <c:showPercent val="1"/>
              <c:showBubbleSize val="0"/>
            </c:dLbl>
            <c:dLbl>
              <c:idx val="7"/>
              <c:layout>
                <c:manualLayout>
                  <c:x val="0"/>
                  <c:y val="-0.11518928777970551"/>
                </c:manualLayout>
              </c:layout>
              <c:tx>
                <c:rich>
                  <a:bodyPr/>
                  <a:lstStyle/>
                  <a:p>
                    <a:r>
                      <a:rPr lang="en-US"/>
                      <a:t>Food security </a:t>
                    </a:r>
                  </a:p>
                  <a:p>
                    <a:r>
                      <a:rPr lang="en-US"/>
                      <a:t>program </a:t>
                    </a:r>
                  </a:p>
                  <a:p>
                    <a:r>
                      <a:rPr lang="en-US"/>
                      <a:t>$951,939</a:t>
                    </a:r>
                    <a:r>
                      <a:rPr lang="en-US" baseline="0"/>
                      <a:t> (</a:t>
                    </a:r>
                    <a:r>
                      <a:rPr lang="en-US"/>
                      <a:t>5%)</a:t>
                    </a:r>
                  </a:p>
                </c:rich>
              </c:tx>
              <c:dLblPos val="bestFit"/>
              <c:showLegendKey val="0"/>
              <c:showVal val="1"/>
              <c:showCatName val="1"/>
              <c:showSerName val="0"/>
              <c:showPercent val="1"/>
              <c:showBubbleSize val="0"/>
            </c:dLbl>
            <c:dLbl>
              <c:idx val="8"/>
              <c:layout>
                <c:manualLayout>
                  <c:x val="-2.5341130604288498E-2"/>
                  <c:y val="-6.1539881667333957E-2"/>
                </c:manualLayout>
              </c:layout>
              <c:tx>
                <c:rich>
                  <a:bodyPr/>
                  <a:lstStyle/>
                  <a:p>
                    <a:r>
                      <a:rPr lang="en-US"/>
                      <a:t>Central programs, $3,510,391 (19%)</a:t>
                    </a:r>
                  </a:p>
                </c:rich>
              </c:tx>
              <c:dLblPos val="bestFit"/>
              <c:showLegendKey val="0"/>
              <c:showVal val="1"/>
              <c:showCatName val="1"/>
              <c:showSerName val="0"/>
              <c:showPercent val="1"/>
              <c:showBubbleSize val="0"/>
            </c:dLbl>
            <c:dLbl>
              <c:idx val="9"/>
              <c:layout>
                <c:manualLayout>
                  <c:x val="-8.5769980506822607E-2"/>
                  <c:y val="-3.729703278615594E-2"/>
                </c:manualLayout>
              </c:layout>
              <c:tx>
                <c:rich>
                  <a:bodyPr/>
                  <a:lstStyle/>
                  <a:p>
                    <a:r>
                      <a:rPr lang="en-US"/>
                      <a:t>AfRO </a:t>
                    </a:r>
                  </a:p>
                  <a:p>
                    <a:r>
                      <a:rPr lang="en-US"/>
                      <a:t>$506,026 (3%)</a:t>
                    </a:r>
                  </a:p>
                </c:rich>
              </c:tx>
              <c:dLblPos val="bestFit"/>
              <c:showLegendKey val="0"/>
              <c:showVal val="1"/>
              <c:showCatName val="1"/>
              <c:showSerName val="0"/>
              <c:showPercent val="1"/>
              <c:showBubbleSize val="0"/>
            </c:dLbl>
            <c:dLbl>
              <c:idx val="10"/>
              <c:layout>
                <c:manualLayout>
                  <c:x val="0.14619883040935672"/>
                  <c:y val="-4.6241825703990394E-2"/>
                </c:manualLayout>
              </c:layout>
              <c:tx>
                <c:rich>
                  <a:bodyPr/>
                  <a:lstStyle/>
                  <a:p>
                    <a:r>
                      <a:rPr lang="en-US"/>
                      <a:t>Other thematic programs </a:t>
                    </a:r>
                  </a:p>
                  <a:p>
                    <a:r>
                      <a:rPr lang="en-US"/>
                      <a:t>$150,156 (1%)</a:t>
                    </a:r>
                  </a:p>
                </c:rich>
              </c:tx>
              <c:dLblPos val="bestFit"/>
              <c:showLegendKey val="0"/>
              <c:showVal val="1"/>
              <c:showCatName val="1"/>
              <c:showSerName val="0"/>
              <c:showPercent val="1"/>
              <c:showBubbleSize val="0"/>
            </c:dLbl>
            <c:dLblPos val="outEnd"/>
            <c:showLegendKey val="0"/>
            <c:showVal val="1"/>
            <c:showCatName val="1"/>
            <c:showSerName val="0"/>
            <c:showPercent val="1"/>
            <c:showBubbleSize val="0"/>
            <c:showLeaderLines val="1"/>
          </c:dLbls>
          <c:cat>
            <c:strRef>
              <c:f>'Base data'!$A$33:$A$43</c:f>
              <c:strCache>
                <c:ptCount val="11"/>
                <c:pt idx="0">
                  <c:v>Kenya program</c:v>
                </c:pt>
                <c:pt idx="1">
                  <c:v>South Sudan program</c:v>
                </c:pt>
                <c:pt idx="2">
                  <c:v>Sudan program </c:v>
                </c:pt>
                <c:pt idx="3">
                  <c:v>Uganda program</c:v>
                </c:pt>
                <c:pt idx="4">
                  <c:v>Tanzania program</c:v>
                </c:pt>
                <c:pt idx="5">
                  <c:v>Health &amp; rights program</c:v>
                </c:pt>
                <c:pt idx="6">
                  <c:v>Disability rights program</c:v>
                </c:pt>
                <c:pt idx="7">
                  <c:v>Food security program</c:v>
                </c:pt>
                <c:pt idx="8">
                  <c:v>Central programs </c:v>
                </c:pt>
                <c:pt idx="9">
                  <c:v>AfRO</c:v>
                </c:pt>
                <c:pt idx="10">
                  <c:v>Other thematic programs</c:v>
                </c:pt>
              </c:strCache>
            </c:strRef>
          </c:cat>
          <c:val>
            <c:numRef>
              <c:f>'Base data'!$B$33:$B$43</c:f>
              <c:numCache>
                <c:formatCode>#,##0</c:formatCode>
                <c:ptCount val="11"/>
                <c:pt idx="0">
                  <c:v>2723860</c:v>
                </c:pt>
                <c:pt idx="1">
                  <c:v>1283865</c:v>
                </c:pt>
                <c:pt idx="2">
                  <c:v>1314227</c:v>
                </c:pt>
                <c:pt idx="3">
                  <c:v>1619350</c:v>
                </c:pt>
                <c:pt idx="4">
                  <c:v>1277383</c:v>
                </c:pt>
                <c:pt idx="5">
                  <c:v>3821483</c:v>
                </c:pt>
                <c:pt idx="6">
                  <c:v>975911</c:v>
                </c:pt>
                <c:pt idx="7">
                  <c:v>951939</c:v>
                </c:pt>
                <c:pt idx="8">
                  <c:v>3510391</c:v>
                </c:pt>
                <c:pt idx="9">
                  <c:v>506026</c:v>
                </c:pt>
                <c:pt idx="10">
                  <c:v>150156</c:v>
                </c:pt>
              </c:numCache>
            </c:numRef>
          </c:val>
        </c:ser>
        <c:dLbls>
          <c:showLegendKey val="0"/>
          <c:showVal val="0"/>
          <c:showCatName val="0"/>
          <c:showSerName val="0"/>
          <c:showPercent val="0"/>
          <c:showBubbleSize val="0"/>
          <c:showLeaderLines val="1"/>
        </c:dLbls>
      </c:pie3DChart>
    </c:plotArea>
    <c:plotVisOnly val="1"/>
    <c:dispBlanksAs val="gap"/>
    <c:showDLblsOverMax val="0"/>
  </c:chart>
  <c:spPr>
    <a:ln>
      <a:noFill/>
    </a:ln>
  </c:sp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b="1" cap="none" spc="0">
                <a:ln w="952"/>
                <a:gradFill>
                  <a:gsLst>
                    <a:gs pos="0">
                      <a:schemeClr val="accent6">
                        <a:shade val="20000"/>
                        <a:satMod val="200000"/>
                      </a:schemeClr>
                    </a:gs>
                    <a:gs pos="78000">
                      <a:schemeClr val="accent6">
                        <a:tint val="90000"/>
                        <a:shade val="89000"/>
                        <a:satMod val="220000"/>
                      </a:schemeClr>
                    </a:gs>
                    <a:gs pos="100000">
                      <a:schemeClr val="accent6">
                        <a:tint val="12000"/>
                        <a:satMod val="255000"/>
                      </a:schemeClr>
                    </a:gs>
                  </a:gsLst>
                  <a:lin ang="5400000"/>
                </a:gradFill>
                <a:effectLst>
                  <a:innerShdw blurRad="69850" dist="43180" dir="5400000">
                    <a:srgbClr val="000000">
                      <a:alpha val="65000"/>
                    </a:srgbClr>
                  </a:innerShdw>
                </a:effectLst>
              </a:defRPr>
            </a:pPr>
            <a:r>
              <a:rPr lang="en-US" sz="1600" b="1" cap="none" spc="0">
                <a:ln w="952"/>
                <a:gradFill>
                  <a:gsLst>
                    <a:gs pos="0">
                      <a:schemeClr val="accent6">
                        <a:shade val="20000"/>
                        <a:satMod val="200000"/>
                      </a:schemeClr>
                    </a:gs>
                    <a:gs pos="78000">
                      <a:schemeClr val="accent6">
                        <a:tint val="90000"/>
                        <a:shade val="89000"/>
                        <a:satMod val="220000"/>
                      </a:schemeClr>
                    </a:gs>
                    <a:gs pos="100000">
                      <a:schemeClr val="accent6">
                        <a:tint val="12000"/>
                        <a:satMod val="255000"/>
                      </a:schemeClr>
                    </a:gs>
                  </a:gsLst>
                  <a:lin ang="5400000"/>
                </a:gradFill>
                <a:effectLst>
                  <a:innerShdw blurRad="69850" dist="43180" dir="5400000">
                    <a:srgbClr val="000000">
                      <a:alpha val="65000"/>
                    </a:srgbClr>
                  </a:innerShdw>
                </a:effectLst>
              </a:rPr>
              <a:t>Distribution of 2015 grants funding by programs</a:t>
            </a:r>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6.6264865040020329E-5"/>
          <c:y val="0.14420138888888889"/>
          <c:w val="0.9602328181199572"/>
          <c:h val="0.69100092957130355"/>
        </c:manualLayout>
      </c:layout>
      <c:bar3DChart>
        <c:barDir val="col"/>
        <c:grouping val="stacked"/>
        <c:varyColors val="0"/>
        <c:ser>
          <c:idx val="0"/>
          <c:order val="0"/>
          <c:invertIfNegative val="0"/>
          <c:dLbls>
            <c:dLbl>
              <c:idx val="0"/>
              <c:layout>
                <c:manualLayout>
                  <c:x val="7.4637369638046961E-3"/>
                  <c:y val="-0.38541666666666663"/>
                </c:manualLayout>
              </c:layout>
              <c:showLegendKey val="0"/>
              <c:showVal val="1"/>
              <c:showCatName val="0"/>
              <c:showSerName val="0"/>
              <c:showPercent val="0"/>
              <c:showBubbleSize val="0"/>
            </c:dLbl>
            <c:dLbl>
              <c:idx val="1"/>
              <c:layout>
                <c:manualLayout>
                  <c:x val="0"/>
                  <c:y val="-0.14930555555555555"/>
                </c:manualLayout>
              </c:layout>
              <c:showLegendKey val="0"/>
              <c:showVal val="1"/>
              <c:showCatName val="0"/>
              <c:showSerName val="0"/>
              <c:showPercent val="0"/>
              <c:showBubbleSize val="0"/>
            </c:dLbl>
            <c:dLbl>
              <c:idx val="2"/>
              <c:layout>
                <c:manualLayout>
                  <c:x val="3.7274735492459814E-3"/>
                  <c:y val="-0.19097222222222221"/>
                </c:manualLayout>
              </c:layout>
              <c:showLegendKey val="0"/>
              <c:showVal val="1"/>
              <c:showCatName val="0"/>
              <c:showSerName val="0"/>
              <c:showPercent val="0"/>
              <c:showBubbleSize val="0"/>
            </c:dLbl>
            <c:dLbl>
              <c:idx val="3"/>
              <c:layout>
                <c:manualLayout>
                  <c:x val="9.3186838731150398E-3"/>
                  <c:y val="-0.2048611111111111"/>
                </c:manualLayout>
              </c:layout>
              <c:showLegendKey val="0"/>
              <c:showVal val="1"/>
              <c:showCatName val="0"/>
              <c:showSerName val="0"/>
              <c:showPercent val="0"/>
              <c:showBubbleSize val="0"/>
            </c:dLbl>
            <c:dLbl>
              <c:idx val="4"/>
              <c:layout>
                <c:manualLayout>
                  <c:x val="7.4549470984920313E-3"/>
                  <c:y val="-0.15277777777777785"/>
                </c:manualLayout>
              </c:layout>
              <c:showLegendKey val="0"/>
              <c:showVal val="1"/>
              <c:showCatName val="0"/>
              <c:showSerName val="0"/>
              <c:showPercent val="0"/>
              <c:showBubbleSize val="0"/>
            </c:dLbl>
            <c:dLbl>
              <c:idx val="5"/>
              <c:layout>
                <c:manualLayout>
                  <c:x val="1.1182420647737978E-2"/>
                  <c:y val="-0.49305555555555558"/>
                </c:manualLayout>
              </c:layout>
              <c:showLegendKey val="0"/>
              <c:showVal val="1"/>
              <c:showCatName val="0"/>
              <c:showSerName val="0"/>
              <c:showPercent val="0"/>
              <c:showBubbleSize val="0"/>
            </c:dLbl>
            <c:dLbl>
              <c:idx val="6"/>
              <c:layout>
                <c:manualLayout>
                  <c:x val="1.8637367746230078E-3"/>
                  <c:y val="-0.15277777777777779"/>
                </c:manualLayout>
              </c:layout>
              <c:showLegendKey val="0"/>
              <c:showVal val="1"/>
              <c:showCatName val="0"/>
              <c:showSerName val="0"/>
              <c:showPercent val="0"/>
              <c:showBubbleSize val="0"/>
            </c:dLbl>
            <c:dLbl>
              <c:idx val="7"/>
              <c:layout>
                <c:manualLayout>
                  <c:x val="5.5912103238690237E-3"/>
                  <c:y val="-0.1388888888888889"/>
                </c:manualLayout>
              </c:layout>
              <c:showLegendKey val="0"/>
              <c:showVal val="1"/>
              <c:showCatName val="0"/>
              <c:showSerName val="0"/>
              <c:showPercent val="0"/>
              <c:showBubbleSize val="0"/>
            </c:dLbl>
            <c:dLbl>
              <c:idx val="8"/>
              <c:layout>
                <c:manualLayout>
                  <c:x val="5.5912103238690237E-3"/>
                  <c:y val="-0.10416666666666667"/>
                </c:manualLayout>
              </c:layout>
              <c:showLegendKey val="0"/>
              <c:showVal val="1"/>
              <c:showCatName val="0"/>
              <c:showSerName val="0"/>
              <c:showPercent val="0"/>
              <c:showBubbleSize val="0"/>
            </c:dLbl>
            <c:numFmt formatCode="&quot;$&quot;#,##0" sourceLinked="0"/>
            <c:showLegendKey val="0"/>
            <c:showVal val="1"/>
            <c:showCatName val="0"/>
            <c:showSerName val="0"/>
            <c:showPercent val="0"/>
            <c:showBubbleSize val="0"/>
            <c:showLeaderLines val="0"/>
          </c:dLbls>
          <c:cat>
            <c:strRef>
              <c:f>'Base data'!$A$49:$A$57</c:f>
              <c:strCache>
                <c:ptCount val="9"/>
                <c:pt idx="0">
                  <c:v>Kenya program </c:v>
                </c:pt>
                <c:pt idx="1">
                  <c:v>South Sudan program</c:v>
                </c:pt>
                <c:pt idx="2">
                  <c:v>Sudan program</c:v>
                </c:pt>
                <c:pt idx="3">
                  <c:v>Uganda program</c:v>
                </c:pt>
                <c:pt idx="4">
                  <c:v>Tanzania program</c:v>
                </c:pt>
                <c:pt idx="5">
                  <c:v>Health &amp; rights program</c:v>
                </c:pt>
                <c:pt idx="6">
                  <c:v>Disability rights program</c:v>
                </c:pt>
                <c:pt idx="7">
                  <c:v>Food security program</c:v>
                </c:pt>
                <c:pt idx="8">
                  <c:v>Director's office</c:v>
                </c:pt>
              </c:strCache>
            </c:strRef>
          </c:cat>
          <c:val>
            <c:numRef>
              <c:f>'Base data'!$B$49:$B$57</c:f>
              <c:numCache>
                <c:formatCode>#,##0</c:formatCode>
                <c:ptCount val="9"/>
                <c:pt idx="0">
                  <c:v>1459000</c:v>
                </c:pt>
                <c:pt idx="1">
                  <c:v>978000</c:v>
                </c:pt>
                <c:pt idx="2">
                  <c:v>670000</c:v>
                </c:pt>
                <c:pt idx="3">
                  <c:v>974951</c:v>
                </c:pt>
                <c:pt idx="4">
                  <c:v>1015432</c:v>
                </c:pt>
                <c:pt idx="5">
                  <c:v>1162000</c:v>
                </c:pt>
                <c:pt idx="6">
                  <c:v>329723</c:v>
                </c:pt>
                <c:pt idx="7">
                  <c:v>94559</c:v>
                </c:pt>
                <c:pt idx="8">
                  <c:v>225000</c:v>
                </c:pt>
              </c:numCache>
            </c:numRef>
          </c:val>
        </c:ser>
        <c:ser>
          <c:idx val="1"/>
          <c:order val="1"/>
          <c:invertIfNegative val="0"/>
          <c:dLbls>
            <c:dLbl>
              <c:idx val="0"/>
              <c:layout>
                <c:manualLayout>
                  <c:x val="7.4558504261041441E-3"/>
                  <c:y val="-0.195411576338473"/>
                </c:manualLayout>
              </c:layout>
              <c:showLegendKey val="0"/>
              <c:showVal val="1"/>
              <c:showCatName val="0"/>
              <c:showSerName val="0"/>
              <c:showPercent val="0"/>
              <c:showBubbleSize val="0"/>
            </c:dLbl>
            <c:dLbl>
              <c:idx val="1"/>
              <c:layout>
                <c:manualLayout>
                  <c:x val="5.5912103238690237E-3"/>
                  <c:y val="-8.6805555555555497E-2"/>
                </c:manualLayout>
              </c:layout>
              <c:showLegendKey val="0"/>
              <c:showVal val="1"/>
              <c:showCatName val="0"/>
              <c:showSerName val="0"/>
              <c:showPercent val="0"/>
              <c:showBubbleSize val="0"/>
            </c:dLbl>
            <c:dLbl>
              <c:idx val="2"/>
              <c:layout>
                <c:manualLayout>
                  <c:x val="5.591210323868989E-3"/>
                  <c:y val="-0.12152777777777778"/>
                </c:manualLayout>
              </c:layout>
              <c:showLegendKey val="0"/>
              <c:showVal val="1"/>
              <c:showCatName val="0"/>
              <c:showSerName val="0"/>
              <c:showPercent val="0"/>
              <c:showBubbleSize val="0"/>
            </c:dLbl>
            <c:dLbl>
              <c:idx val="3"/>
              <c:layout>
                <c:manualLayout>
                  <c:x val="9.3186838731150398E-3"/>
                  <c:y val="-0.1180555555555555"/>
                </c:manualLayout>
              </c:layout>
              <c:showLegendKey val="0"/>
              <c:showVal val="1"/>
              <c:showCatName val="0"/>
              <c:showSerName val="0"/>
              <c:showPercent val="0"/>
              <c:showBubbleSize val="0"/>
            </c:dLbl>
            <c:dLbl>
              <c:idx val="4"/>
              <c:layout>
                <c:manualLayout>
                  <c:x val="5.5912103238690237E-3"/>
                  <c:y val="-8.6805555555555552E-2"/>
                </c:manualLayout>
              </c:layout>
              <c:showLegendKey val="0"/>
              <c:showVal val="1"/>
              <c:showCatName val="0"/>
              <c:showSerName val="0"/>
              <c:showPercent val="0"/>
              <c:showBubbleSize val="0"/>
            </c:dLbl>
            <c:dLbl>
              <c:idx val="5"/>
              <c:layout>
                <c:manualLayout>
                  <c:x val="1.1182420647737978E-2"/>
                  <c:y val="-0.26041666666666669"/>
                </c:manualLayout>
              </c:layout>
              <c:showLegendKey val="0"/>
              <c:showVal val="1"/>
              <c:showCatName val="0"/>
              <c:showSerName val="0"/>
              <c:showPercent val="0"/>
              <c:showBubbleSize val="0"/>
            </c:dLbl>
            <c:dLbl>
              <c:idx val="6"/>
              <c:layout>
                <c:manualLayout>
                  <c:x val="1.8637367746230078E-3"/>
                  <c:y val="-0.12152777777777778"/>
                </c:manualLayout>
              </c:layout>
              <c:showLegendKey val="0"/>
              <c:showVal val="1"/>
              <c:showCatName val="0"/>
              <c:showSerName val="0"/>
              <c:showPercent val="0"/>
              <c:showBubbleSize val="0"/>
            </c:dLbl>
            <c:dLbl>
              <c:idx val="7"/>
              <c:layout>
                <c:manualLayout>
                  <c:x val="3.7274735492460157E-3"/>
                  <c:y val="-0.125"/>
                </c:manualLayout>
              </c:layout>
              <c:showLegendKey val="0"/>
              <c:showVal val="1"/>
              <c:showCatName val="0"/>
              <c:showSerName val="0"/>
              <c:showPercent val="0"/>
              <c:showBubbleSize val="0"/>
            </c:dLbl>
            <c:dLbl>
              <c:idx val="8"/>
              <c:layout>
                <c:manualLayout>
                  <c:x val="5.5912103238690237E-3"/>
                  <c:y val="-0.10416666666666667"/>
                </c:manualLayout>
              </c:layout>
              <c:showLegendKey val="0"/>
              <c:showVal val="1"/>
              <c:showCatName val="0"/>
              <c:showSerName val="0"/>
              <c:showPercent val="0"/>
              <c:showBubbleSize val="0"/>
            </c:dLbl>
            <c:numFmt formatCode="&quot;$&quot;#,##0" sourceLinked="0"/>
            <c:showLegendKey val="0"/>
            <c:showVal val="1"/>
            <c:showCatName val="0"/>
            <c:showSerName val="0"/>
            <c:showPercent val="0"/>
            <c:showBubbleSize val="0"/>
            <c:showLeaderLines val="0"/>
          </c:dLbls>
          <c:cat>
            <c:strRef>
              <c:f>'Base data'!$A$49:$A$57</c:f>
              <c:strCache>
                <c:ptCount val="9"/>
                <c:pt idx="0">
                  <c:v>Kenya program </c:v>
                </c:pt>
                <c:pt idx="1">
                  <c:v>South Sudan program</c:v>
                </c:pt>
                <c:pt idx="2">
                  <c:v>Sudan program</c:v>
                </c:pt>
                <c:pt idx="3">
                  <c:v>Uganda program</c:v>
                </c:pt>
                <c:pt idx="4">
                  <c:v>Tanzania program</c:v>
                </c:pt>
                <c:pt idx="5">
                  <c:v>Health &amp; rights program</c:v>
                </c:pt>
                <c:pt idx="6">
                  <c:v>Disability rights program</c:v>
                </c:pt>
                <c:pt idx="7">
                  <c:v>Food security program</c:v>
                </c:pt>
                <c:pt idx="8">
                  <c:v>Director's office</c:v>
                </c:pt>
              </c:strCache>
            </c:strRef>
          </c:cat>
          <c:val>
            <c:numRef>
              <c:f>'Base data'!$C$49:$C$57</c:f>
              <c:numCache>
                <c:formatCode>#,##0</c:formatCode>
                <c:ptCount val="9"/>
                <c:pt idx="0">
                  <c:v>918000</c:v>
                </c:pt>
                <c:pt idx="1">
                  <c:v>41800</c:v>
                </c:pt>
                <c:pt idx="2">
                  <c:v>417000</c:v>
                </c:pt>
                <c:pt idx="3">
                  <c:v>300000</c:v>
                </c:pt>
                <c:pt idx="4">
                  <c:v>40010</c:v>
                </c:pt>
                <c:pt idx="5">
                  <c:v>1543875</c:v>
                </c:pt>
                <c:pt idx="6">
                  <c:v>367000</c:v>
                </c:pt>
                <c:pt idx="7">
                  <c:v>446027</c:v>
                </c:pt>
                <c:pt idx="8">
                  <c:v>200000</c:v>
                </c:pt>
              </c:numCache>
            </c:numRef>
          </c:val>
        </c:ser>
        <c:dLbls>
          <c:showLegendKey val="0"/>
          <c:showVal val="0"/>
          <c:showCatName val="0"/>
          <c:showSerName val="0"/>
          <c:showPercent val="0"/>
          <c:showBubbleSize val="0"/>
        </c:dLbls>
        <c:gapWidth val="150"/>
        <c:shape val="cylinder"/>
        <c:axId val="173875200"/>
        <c:axId val="173876736"/>
        <c:axId val="0"/>
      </c:bar3DChart>
      <c:catAx>
        <c:axId val="173875200"/>
        <c:scaling>
          <c:orientation val="minMax"/>
        </c:scaling>
        <c:delete val="0"/>
        <c:axPos val="b"/>
        <c:majorTickMark val="out"/>
        <c:minorTickMark val="none"/>
        <c:tickLblPos val="nextTo"/>
        <c:crossAx val="173876736"/>
        <c:crosses val="autoZero"/>
        <c:auto val="1"/>
        <c:lblAlgn val="ctr"/>
        <c:lblOffset val="100"/>
        <c:noMultiLvlLbl val="0"/>
      </c:catAx>
      <c:valAx>
        <c:axId val="173876736"/>
        <c:scaling>
          <c:orientation val="minMax"/>
        </c:scaling>
        <c:delete val="1"/>
        <c:axPos val="l"/>
        <c:majorGridlines>
          <c:spPr>
            <a:ln>
              <a:noFill/>
            </a:ln>
          </c:spPr>
        </c:majorGridlines>
        <c:numFmt formatCode="#,##0" sourceLinked="1"/>
        <c:majorTickMark val="out"/>
        <c:minorTickMark val="none"/>
        <c:tickLblPos val="nextTo"/>
        <c:crossAx val="173875200"/>
        <c:crosses val="autoZero"/>
        <c:crossBetween val="between"/>
      </c:valAx>
    </c:plotArea>
    <c:plotVisOnly val="1"/>
    <c:dispBlanksAs val="gap"/>
    <c:showDLblsOverMax val="0"/>
  </c:chart>
  <c:spPr>
    <a:ln>
      <a:noFill/>
    </a:ln>
  </c:sp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600" b="1" cap="none" spc="0">
                <a:ln w="952"/>
                <a:gradFill>
                  <a:gsLst>
                    <a:gs pos="0">
                      <a:schemeClr val="accent6">
                        <a:shade val="20000"/>
                        <a:satMod val="200000"/>
                      </a:schemeClr>
                    </a:gs>
                    <a:gs pos="78000">
                      <a:schemeClr val="accent6">
                        <a:tint val="90000"/>
                        <a:shade val="89000"/>
                        <a:satMod val="220000"/>
                      </a:schemeClr>
                    </a:gs>
                    <a:gs pos="100000">
                      <a:schemeClr val="accent6">
                        <a:tint val="12000"/>
                        <a:satMod val="255000"/>
                      </a:schemeClr>
                    </a:gs>
                  </a:gsLst>
                  <a:lin ang="5400000"/>
                </a:gradFill>
                <a:effectLst>
                  <a:innerShdw blurRad="69850" dist="43180" dir="5400000">
                    <a:srgbClr val="000000">
                      <a:alpha val="65000"/>
                    </a:srgbClr>
                  </a:innerShdw>
                </a:effectLst>
              </a:defRPr>
            </a:pPr>
            <a:r>
              <a:rPr lang="en-US" sz="1600" b="1" cap="none" spc="0">
                <a:ln w="952"/>
                <a:gradFill>
                  <a:gsLst>
                    <a:gs pos="0">
                      <a:schemeClr val="accent6">
                        <a:shade val="20000"/>
                        <a:satMod val="200000"/>
                      </a:schemeClr>
                    </a:gs>
                    <a:gs pos="78000">
                      <a:schemeClr val="accent6">
                        <a:tint val="90000"/>
                        <a:shade val="89000"/>
                        <a:satMod val="220000"/>
                      </a:schemeClr>
                    </a:gs>
                    <a:gs pos="100000">
                      <a:schemeClr val="accent6">
                        <a:tint val="12000"/>
                        <a:satMod val="255000"/>
                      </a:schemeClr>
                    </a:gs>
                  </a:gsLst>
                  <a:lin ang="5400000"/>
                </a:gradFill>
                <a:effectLst>
                  <a:innerShdw blurRad="69850" dist="43180" dir="5400000">
                    <a:srgbClr val="000000">
                      <a:alpha val="65000"/>
                    </a:srgbClr>
                  </a:innerShdw>
                </a:effectLst>
              </a:rPr>
              <a:t>Distribution of overall 2015 </a:t>
            </a:r>
          </a:p>
          <a:p>
            <a:pPr>
              <a:defRPr sz="1600" b="1" cap="none" spc="0">
                <a:ln w="952"/>
                <a:gradFill>
                  <a:gsLst>
                    <a:gs pos="0">
                      <a:schemeClr val="accent6">
                        <a:shade val="20000"/>
                        <a:satMod val="200000"/>
                      </a:schemeClr>
                    </a:gs>
                    <a:gs pos="78000">
                      <a:schemeClr val="accent6">
                        <a:tint val="90000"/>
                        <a:shade val="89000"/>
                        <a:satMod val="220000"/>
                      </a:schemeClr>
                    </a:gs>
                    <a:gs pos="100000">
                      <a:schemeClr val="accent6">
                        <a:tint val="12000"/>
                        <a:satMod val="255000"/>
                      </a:schemeClr>
                    </a:gs>
                  </a:gsLst>
                  <a:lin ang="5400000"/>
                </a:gradFill>
                <a:effectLst>
                  <a:innerShdw blurRad="69850" dist="43180" dir="5400000">
                    <a:srgbClr val="000000">
                      <a:alpha val="65000"/>
                    </a:srgbClr>
                  </a:innerShdw>
                </a:effectLst>
              </a:defRPr>
            </a:pPr>
            <a:r>
              <a:rPr lang="en-US" sz="1600" b="1" cap="none" spc="0">
                <a:ln w="952"/>
                <a:gradFill>
                  <a:gsLst>
                    <a:gs pos="0">
                      <a:schemeClr val="accent6">
                        <a:shade val="20000"/>
                        <a:satMod val="200000"/>
                      </a:schemeClr>
                    </a:gs>
                    <a:gs pos="78000">
                      <a:schemeClr val="accent6">
                        <a:tint val="90000"/>
                        <a:shade val="89000"/>
                        <a:satMod val="220000"/>
                      </a:schemeClr>
                    </a:gs>
                    <a:gs pos="100000">
                      <a:schemeClr val="accent6">
                        <a:tint val="12000"/>
                        <a:satMod val="255000"/>
                      </a:schemeClr>
                    </a:gs>
                  </a:gsLst>
                  <a:lin ang="5400000"/>
                </a:gradFill>
                <a:effectLst>
                  <a:innerShdw blurRad="69850" dist="43180" dir="5400000">
                    <a:srgbClr val="000000">
                      <a:alpha val="65000"/>
                    </a:srgbClr>
                  </a:innerShdw>
                </a:effectLst>
              </a:rPr>
              <a:t>OSIEA grants funding by country</a:t>
            </a:r>
          </a:p>
        </c:rich>
      </c:tx>
      <c:layout>
        <c:manualLayout>
          <c:xMode val="edge"/>
          <c:yMode val="edge"/>
          <c:x val="0.25710327074500305"/>
          <c:y val="1.6302630475858933E-4"/>
        </c:manualLayout>
      </c:layout>
      <c:overlay val="0"/>
    </c:title>
    <c:autoTitleDeleted val="0"/>
    <c:view3D>
      <c:rotX val="30"/>
      <c:rotY val="320"/>
      <c:rAngAx val="0"/>
      <c:perspective val="10"/>
    </c:view3D>
    <c:floor>
      <c:thickness val="0"/>
    </c:floor>
    <c:sideWall>
      <c:thickness val="0"/>
    </c:sideWall>
    <c:backWall>
      <c:thickness val="0"/>
    </c:backWall>
    <c:plotArea>
      <c:layout>
        <c:manualLayout>
          <c:layoutTarget val="inner"/>
          <c:xMode val="edge"/>
          <c:yMode val="edge"/>
          <c:x val="0.11717174776229897"/>
          <c:y val="0.24112021802901235"/>
          <c:w val="0.85811965811965807"/>
          <c:h val="0.6552793308698821"/>
        </c:manualLayout>
      </c:layout>
      <c:pie3DChart>
        <c:varyColors val="1"/>
        <c:ser>
          <c:idx val="0"/>
          <c:order val="0"/>
          <c:tx>
            <c:strRef>
              <c:f>'Base data'!$A$91</c:f>
              <c:strCache>
                <c:ptCount val="1"/>
                <c:pt idx="0">
                  <c:v>TOTALS</c:v>
                </c:pt>
              </c:strCache>
            </c:strRef>
          </c:tx>
          <c:explosion val="25"/>
          <c:dLbls>
            <c:dLbl>
              <c:idx val="0"/>
              <c:layout>
                <c:manualLayout>
                  <c:x val="8.7216049042820695E-2"/>
                  <c:y val="0.12245515409864548"/>
                </c:manualLayout>
              </c:layout>
              <c:tx>
                <c:rich>
                  <a:bodyPr/>
                  <a:lstStyle/>
                  <a:p>
                    <a:r>
                      <a:rPr lang="en-US"/>
                      <a:t>Kenya  
$4,726,809
(42%)</a:t>
                    </a:r>
                  </a:p>
                </c:rich>
              </c:tx>
              <c:showLegendKey val="0"/>
              <c:showVal val="1"/>
              <c:showCatName val="1"/>
              <c:showSerName val="0"/>
              <c:showPercent val="1"/>
              <c:showBubbleSize val="0"/>
              <c:separator>
</c:separator>
            </c:dLbl>
            <c:dLbl>
              <c:idx val="1"/>
              <c:layout>
                <c:manualLayout>
                  <c:x val="-0.19197422437579917"/>
                  <c:y val="0.12195425203299219"/>
                </c:manualLayout>
              </c:layout>
              <c:tx>
                <c:rich>
                  <a:bodyPr/>
                  <a:lstStyle/>
                  <a:p>
                    <a:r>
                      <a:rPr lang="en-US"/>
                      <a:t>Sudan 
$1,112,000
(10%)</a:t>
                    </a:r>
                  </a:p>
                </c:rich>
              </c:tx>
              <c:showLegendKey val="0"/>
              <c:showVal val="1"/>
              <c:showCatName val="1"/>
              <c:showSerName val="0"/>
              <c:showPercent val="1"/>
              <c:showBubbleSize val="0"/>
              <c:separator>
</c:separator>
            </c:dLbl>
            <c:dLbl>
              <c:idx val="2"/>
              <c:layout>
                <c:manualLayout>
                  <c:x val="0.22585806581869575"/>
                  <c:y val="-0.15488659740628244"/>
                </c:manualLayout>
              </c:layout>
              <c:tx>
                <c:rich>
                  <a:bodyPr/>
                  <a:lstStyle/>
                  <a:p>
                    <a:r>
                      <a:rPr lang="en-US"/>
                      <a:t>South Sudan 
$1,094,800
(10%)</a:t>
                    </a:r>
                  </a:p>
                </c:rich>
              </c:tx>
              <c:showLegendKey val="0"/>
              <c:showVal val="1"/>
              <c:showCatName val="1"/>
              <c:showSerName val="0"/>
              <c:showPercent val="1"/>
              <c:showBubbleSize val="0"/>
              <c:separator>
</c:separator>
            </c:dLbl>
            <c:dLbl>
              <c:idx val="3"/>
              <c:layout>
                <c:manualLayout>
                  <c:x val="7.0322118826055833E-3"/>
                  <c:y val="-1.3758402150950643E-3"/>
                </c:manualLayout>
              </c:layout>
              <c:tx>
                <c:rich>
                  <a:bodyPr/>
                  <a:lstStyle/>
                  <a:p>
                    <a:r>
                      <a:rPr lang="en-US"/>
                      <a:t>Tanzania  
$1,270,442
(11%)</a:t>
                    </a:r>
                  </a:p>
                </c:rich>
              </c:tx>
              <c:showLegendKey val="0"/>
              <c:showVal val="1"/>
              <c:showCatName val="1"/>
              <c:showSerName val="0"/>
              <c:showPercent val="1"/>
              <c:showBubbleSize val="0"/>
              <c:separator>
</c:separator>
            </c:dLbl>
            <c:dLbl>
              <c:idx val="4"/>
              <c:layout>
                <c:manualLayout>
                  <c:x val="2.9548152634766817E-2"/>
                  <c:y val="-6.842761676067087E-2"/>
                </c:manualLayout>
              </c:layout>
              <c:tx>
                <c:rich>
                  <a:bodyPr/>
                  <a:lstStyle/>
                  <a:p>
                    <a:r>
                      <a:rPr lang="en-US"/>
                      <a:t>Uganda  
$2,933,326
(26%)</a:t>
                    </a:r>
                  </a:p>
                </c:rich>
              </c:tx>
              <c:showLegendKey val="0"/>
              <c:showVal val="1"/>
              <c:showCatName val="1"/>
              <c:showSerName val="0"/>
              <c:showPercent val="1"/>
              <c:showBubbleSize val="0"/>
              <c:separator>
</c:separator>
            </c:dLbl>
            <c:dLbl>
              <c:idx val="5"/>
              <c:layout>
                <c:manualLayout>
                  <c:x val="5.6683075454728997E-2"/>
                  <c:y val="-1.5135778759362397E-2"/>
                </c:manualLayout>
              </c:layout>
              <c:showLegendKey val="0"/>
              <c:showVal val="1"/>
              <c:showCatName val="1"/>
              <c:showSerName val="0"/>
              <c:showPercent val="1"/>
              <c:showBubbleSize val="0"/>
              <c:separator>
</c:separator>
            </c:dLbl>
            <c:showLegendKey val="0"/>
            <c:showVal val="1"/>
            <c:showCatName val="1"/>
            <c:showSerName val="0"/>
            <c:showPercent val="1"/>
            <c:showBubbleSize val="0"/>
            <c:separator>
</c:separator>
            <c:showLeaderLines val="0"/>
          </c:dLbls>
          <c:cat>
            <c:strRef>
              <c:f>'Base data'!$B$90:$G$90</c:f>
              <c:strCache>
                <c:ptCount val="6"/>
                <c:pt idx="0">
                  <c:v>Kenya  </c:v>
                </c:pt>
                <c:pt idx="1">
                  <c:v>Sudan </c:v>
                </c:pt>
                <c:pt idx="2">
                  <c:v>South Sudan </c:v>
                </c:pt>
                <c:pt idx="3">
                  <c:v>Tanzania  </c:v>
                </c:pt>
                <c:pt idx="4">
                  <c:v>Uganda  </c:v>
                </c:pt>
                <c:pt idx="5">
                  <c:v>Rwanda</c:v>
                </c:pt>
              </c:strCache>
            </c:strRef>
          </c:cat>
          <c:val>
            <c:numRef>
              <c:f>'Base data'!$B$91:$G$91</c:f>
              <c:numCache>
                <c:formatCode>#,##0</c:formatCode>
                <c:ptCount val="6"/>
                <c:pt idx="0">
                  <c:v>4726809</c:v>
                </c:pt>
                <c:pt idx="1">
                  <c:v>1112000</c:v>
                </c:pt>
                <c:pt idx="2">
                  <c:v>1094800</c:v>
                </c:pt>
                <c:pt idx="3">
                  <c:v>1270442</c:v>
                </c:pt>
                <c:pt idx="4">
                  <c:v>2933326</c:v>
                </c:pt>
                <c:pt idx="5">
                  <c:v>45000</c:v>
                </c:pt>
              </c:numCache>
            </c:numRef>
          </c:val>
        </c:ser>
        <c:dLbls>
          <c:showLegendKey val="0"/>
          <c:showVal val="0"/>
          <c:showCatName val="0"/>
          <c:showSerName val="0"/>
          <c:showPercent val="0"/>
          <c:showBubbleSize val="0"/>
          <c:showLeaderLines val="0"/>
        </c:dLbls>
      </c:pie3DChart>
    </c:plotArea>
    <c:plotVisOnly val="1"/>
    <c:dispBlanksAs val="gap"/>
    <c:showDLblsOverMax val="0"/>
  </c:chart>
  <c:spPr>
    <a:ln>
      <a:noFill/>
    </a:ln>
  </c:spPr>
  <c:externalData r:id="rId2">
    <c:autoUpdate val="0"/>
  </c:externalData>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600" b="1" cap="none" spc="0">
                <a:ln w="952"/>
                <a:gradFill>
                  <a:gsLst>
                    <a:gs pos="0">
                      <a:schemeClr val="accent6">
                        <a:shade val="20000"/>
                        <a:satMod val="200000"/>
                      </a:schemeClr>
                    </a:gs>
                    <a:gs pos="78000">
                      <a:schemeClr val="accent6">
                        <a:tint val="90000"/>
                        <a:shade val="89000"/>
                        <a:satMod val="220000"/>
                      </a:schemeClr>
                    </a:gs>
                    <a:gs pos="100000">
                      <a:schemeClr val="accent6">
                        <a:tint val="12000"/>
                        <a:satMod val="255000"/>
                      </a:schemeClr>
                    </a:gs>
                  </a:gsLst>
                  <a:lin ang="5400000"/>
                </a:gradFill>
                <a:effectLst>
                  <a:innerShdw blurRad="69850" dist="43180" dir="5400000">
                    <a:srgbClr val="000000">
                      <a:alpha val="65000"/>
                    </a:srgbClr>
                  </a:innerShdw>
                </a:effectLst>
              </a:defRPr>
            </a:pPr>
            <a:r>
              <a:rPr lang="en-US" sz="1600" b="1" cap="none" spc="0">
                <a:ln w="952"/>
                <a:gradFill>
                  <a:gsLst>
                    <a:gs pos="0">
                      <a:schemeClr val="accent6">
                        <a:shade val="20000"/>
                        <a:satMod val="200000"/>
                      </a:schemeClr>
                    </a:gs>
                    <a:gs pos="78000">
                      <a:schemeClr val="accent6">
                        <a:tint val="90000"/>
                        <a:shade val="89000"/>
                        <a:satMod val="220000"/>
                      </a:schemeClr>
                    </a:gs>
                    <a:gs pos="100000">
                      <a:schemeClr val="accent6">
                        <a:tint val="12000"/>
                        <a:satMod val="255000"/>
                      </a:schemeClr>
                    </a:gs>
                  </a:gsLst>
                  <a:lin ang="5400000"/>
                </a:gradFill>
                <a:effectLst>
                  <a:innerShdw blurRad="69850" dist="43180" dir="5400000">
                    <a:srgbClr val="000000">
                      <a:alpha val="65000"/>
                    </a:srgbClr>
                  </a:innerShdw>
                </a:effectLst>
              </a:rPr>
              <a:t>2015 OSIEA ED vs Board approved grants</a:t>
            </a:r>
          </a:p>
        </c:rich>
      </c:tx>
      <c:layout>
        <c:manualLayout>
          <c:xMode val="edge"/>
          <c:yMode val="edge"/>
          <c:x val="0.20562046719908941"/>
          <c:y val="0"/>
        </c:manualLayout>
      </c:layout>
      <c:overlay val="0"/>
    </c:title>
    <c:autoTitleDeleted val="0"/>
    <c:plotArea>
      <c:layout>
        <c:manualLayout>
          <c:layoutTarget val="inner"/>
          <c:xMode val="edge"/>
          <c:yMode val="edge"/>
          <c:x val="0.28535028699158682"/>
          <c:y val="0.13153359787810165"/>
          <c:w val="0.40243976525406233"/>
          <c:h val="0.75603459857755251"/>
        </c:manualLayout>
      </c:layout>
      <c:pieChart>
        <c:varyColors val="1"/>
        <c:ser>
          <c:idx val="0"/>
          <c:order val="0"/>
          <c:tx>
            <c:strRef>
              <c:f>'Base data'!$B$94:$B$95</c:f>
              <c:strCache>
                <c:ptCount val="1"/>
                <c:pt idx="0">
                  <c:v>2015 OSIEA ED vs Board approved grants Amount (US$)</c:v>
                </c:pt>
              </c:strCache>
            </c:strRef>
          </c:tx>
          <c:explosion val="25"/>
          <c:dLbls>
            <c:dLbl>
              <c:idx val="0"/>
              <c:layout>
                <c:manualLayout>
                  <c:x val="3.9964804684721113E-2"/>
                  <c:y val="0.17180950006578993"/>
                </c:manualLayout>
              </c:layout>
              <c:tx>
                <c:rich>
                  <a:bodyPr/>
                  <a:lstStyle/>
                  <a:p>
                    <a:r>
                      <a:rPr lang="en-US"/>
                      <a:t>Director approved grants 
 $1,378,871 
(12%)</a:t>
                    </a:r>
                  </a:p>
                </c:rich>
              </c:tx>
              <c:showLegendKey val="0"/>
              <c:showVal val="1"/>
              <c:showCatName val="1"/>
              <c:showSerName val="0"/>
              <c:showPercent val="1"/>
              <c:showBubbleSize val="0"/>
              <c:separator>
</c:separator>
            </c:dLbl>
            <c:dLbl>
              <c:idx val="1"/>
              <c:layout>
                <c:manualLayout>
                  <c:x val="-0.16636527175676075"/>
                  <c:y val="-0.18449933863807921"/>
                </c:manualLayout>
              </c:layout>
              <c:tx>
                <c:rich>
                  <a:bodyPr/>
                  <a:lstStyle/>
                  <a:p>
                    <a:r>
                      <a:rPr lang="en-US"/>
                      <a:t>Board approved grants 
 $9,033,296 
(81%)</a:t>
                    </a:r>
                  </a:p>
                </c:rich>
              </c:tx>
              <c:showLegendKey val="0"/>
              <c:showVal val="1"/>
              <c:showCatName val="1"/>
              <c:showSerName val="0"/>
              <c:showPercent val="1"/>
              <c:showBubbleSize val="0"/>
              <c:separator>
</c:separator>
            </c:dLbl>
            <c:dLbl>
              <c:idx val="2"/>
              <c:layout>
                <c:manualLayout>
                  <c:x val="-7.1637742857035877E-2"/>
                  <c:y val="0.15888143269690233"/>
                </c:manualLayout>
              </c:layout>
              <c:tx>
                <c:rich>
                  <a:bodyPr/>
                  <a:lstStyle/>
                  <a:p>
                    <a:r>
                      <a:rPr lang="en-US"/>
                      <a:t>NWP direct approvals
 $770,210 
(7%)</a:t>
                    </a:r>
                  </a:p>
                </c:rich>
              </c:tx>
              <c:showLegendKey val="0"/>
              <c:showVal val="1"/>
              <c:showCatName val="1"/>
              <c:showSerName val="0"/>
              <c:showPercent val="1"/>
              <c:showBubbleSize val="0"/>
              <c:separator>
</c:separator>
            </c:dLbl>
            <c:showLegendKey val="0"/>
            <c:showVal val="1"/>
            <c:showCatName val="1"/>
            <c:showSerName val="0"/>
            <c:showPercent val="1"/>
            <c:showBubbleSize val="0"/>
            <c:separator>
</c:separator>
            <c:showLeaderLines val="0"/>
          </c:dLbls>
          <c:cat>
            <c:strRef>
              <c:f>'Base data'!$A$96:$A$98</c:f>
              <c:strCache>
                <c:ptCount val="3"/>
                <c:pt idx="0">
                  <c:v>Director approved grants </c:v>
                </c:pt>
                <c:pt idx="1">
                  <c:v>Board approved grants </c:v>
                </c:pt>
                <c:pt idx="2">
                  <c:v>NWP direct approvals</c:v>
                </c:pt>
              </c:strCache>
            </c:strRef>
          </c:cat>
          <c:val>
            <c:numRef>
              <c:f>'Base data'!$B$96:$B$98</c:f>
              <c:numCache>
                <c:formatCode>_(* #,##0_);_(* \(#,##0\);_(* "-"??_);_(@_)</c:formatCode>
                <c:ptCount val="3"/>
                <c:pt idx="0">
                  <c:v>1378871</c:v>
                </c:pt>
                <c:pt idx="1">
                  <c:v>9033296</c:v>
                </c:pt>
                <c:pt idx="2">
                  <c:v>770210</c:v>
                </c:pt>
              </c:numCache>
            </c:numRef>
          </c:val>
        </c:ser>
        <c:dLbls>
          <c:showLegendKey val="0"/>
          <c:showVal val="0"/>
          <c:showCatName val="0"/>
          <c:showSerName val="0"/>
          <c:showPercent val="0"/>
          <c:showBubbleSize val="0"/>
          <c:showLeaderLines val="0"/>
        </c:dLbls>
        <c:firstSliceAng val="0"/>
      </c:pieChart>
    </c:plotArea>
    <c:plotVisOnly val="1"/>
    <c:dispBlanksAs val="gap"/>
    <c:showDLblsOverMax val="0"/>
  </c:chart>
  <c:spPr>
    <a:ln>
      <a:noFill/>
    </a:ln>
  </c:spPr>
  <c:externalData r:id="rId2">
    <c:autoUpdate val="0"/>
  </c:externalData>
  <c:userShapes r:id="rId3"/>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title>
      <c:tx>
        <c:rich>
          <a:bodyPr/>
          <a:lstStyle/>
          <a:p>
            <a:pPr>
              <a:defRPr sz="1600" b="1" cap="none" spc="0">
                <a:ln w="952"/>
                <a:gradFill>
                  <a:gsLst>
                    <a:gs pos="0">
                      <a:schemeClr val="accent6">
                        <a:shade val="20000"/>
                        <a:satMod val="200000"/>
                      </a:schemeClr>
                    </a:gs>
                    <a:gs pos="78000">
                      <a:schemeClr val="accent6">
                        <a:tint val="90000"/>
                        <a:shade val="89000"/>
                        <a:satMod val="220000"/>
                      </a:schemeClr>
                    </a:gs>
                    <a:gs pos="100000">
                      <a:schemeClr val="accent6">
                        <a:tint val="12000"/>
                        <a:satMod val="255000"/>
                      </a:schemeClr>
                    </a:gs>
                  </a:gsLst>
                  <a:lin ang="5400000"/>
                </a:gradFill>
                <a:effectLst>
                  <a:innerShdw blurRad="69850" dist="43180" dir="5400000">
                    <a:srgbClr val="000000">
                      <a:alpha val="65000"/>
                    </a:srgbClr>
                  </a:innerShdw>
                </a:effectLst>
              </a:defRPr>
            </a:pPr>
            <a:r>
              <a:rPr lang="en-US" sz="1600" b="1" cap="none" spc="0">
                <a:ln w="952"/>
                <a:gradFill>
                  <a:gsLst>
                    <a:gs pos="0">
                      <a:schemeClr val="accent6">
                        <a:shade val="20000"/>
                        <a:satMod val="200000"/>
                      </a:schemeClr>
                    </a:gs>
                    <a:gs pos="78000">
                      <a:schemeClr val="accent6">
                        <a:tint val="90000"/>
                        <a:shade val="89000"/>
                        <a:satMod val="220000"/>
                      </a:schemeClr>
                    </a:gs>
                    <a:gs pos="100000">
                      <a:schemeClr val="accent6">
                        <a:tint val="12000"/>
                        <a:satMod val="255000"/>
                      </a:schemeClr>
                    </a:gs>
                  </a:gsLst>
                  <a:lin ang="5400000"/>
                </a:gradFill>
                <a:effectLst>
                  <a:innerShdw blurRad="69850" dist="43180" dir="5400000">
                    <a:srgbClr val="000000">
                      <a:alpha val="65000"/>
                    </a:srgbClr>
                  </a:innerShdw>
                </a:effectLst>
              </a:rPr>
              <a:t>2015 NWP funding in Eastern Africa</a:t>
            </a:r>
          </a:p>
        </c:rich>
      </c:tx>
      <c:layout>
        <c:manualLayout>
          <c:xMode val="edge"/>
          <c:yMode val="edge"/>
          <c:x val="0.22117300453722355"/>
          <c:y val="0"/>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34521312742883886"/>
          <c:y val="6.9809724927835159E-2"/>
          <c:w val="0.61551038678304748"/>
          <c:h val="0.92243477881273162"/>
        </c:manualLayout>
      </c:layout>
      <c:bar3DChart>
        <c:barDir val="bar"/>
        <c:grouping val="clustered"/>
        <c:varyColors val="0"/>
        <c:ser>
          <c:idx val="0"/>
          <c:order val="0"/>
          <c:tx>
            <c:strRef>
              <c:f>'Base data'!$B$102:$B$103</c:f>
              <c:strCache>
                <c:ptCount val="1"/>
                <c:pt idx="0">
                  <c:v>2015 NWP funding in Eastern Africa Total ($US)</c:v>
                </c:pt>
              </c:strCache>
            </c:strRef>
          </c:tx>
          <c:invertIfNegative val="0"/>
          <c:dLbls>
            <c:dLbl>
              <c:idx val="0"/>
              <c:layout>
                <c:manualLayout>
                  <c:x val="0"/>
                  <c:y val="-2.9906542056074768E-2"/>
                </c:manualLayout>
              </c:layout>
              <c:showLegendKey val="0"/>
              <c:showVal val="1"/>
              <c:showCatName val="0"/>
              <c:showSerName val="0"/>
              <c:showPercent val="0"/>
              <c:showBubbleSize val="0"/>
            </c:dLbl>
            <c:numFmt formatCode="&quot;$&quot;#,##0" sourceLinked="0"/>
            <c:showLegendKey val="0"/>
            <c:showVal val="1"/>
            <c:showCatName val="0"/>
            <c:showSerName val="0"/>
            <c:showPercent val="0"/>
            <c:showBubbleSize val="0"/>
            <c:showLeaderLines val="0"/>
          </c:dLbls>
          <c:cat>
            <c:strRef>
              <c:f>'Base data'!$A$104:$A$119</c:f>
              <c:strCache>
                <c:ptCount val="16"/>
                <c:pt idx="0">
                  <c:v>HRI</c:v>
                </c:pt>
                <c:pt idx="1">
                  <c:v>Food security - shared frameworks</c:v>
                </c:pt>
                <c:pt idx="2">
                  <c:v>OSISA</c:v>
                </c:pt>
                <c:pt idx="3">
                  <c:v>PIJ</c:v>
                </c:pt>
                <c:pt idx="4">
                  <c:v>AfRO</c:v>
                </c:pt>
                <c:pt idx="5">
                  <c:v>ECP</c:v>
                </c:pt>
                <c:pt idx="6">
                  <c:v>OSJI</c:v>
                </c:pt>
                <c:pt idx="7">
                  <c:v>YOUTH </c:v>
                </c:pt>
                <c:pt idx="8">
                  <c:v>WRP</c:v>
                </c:pt>
                <c:pt idx="9">
                  <c:v>LAHI</c:v>
                </c:pt>
                <c:pt idx="10">
                  <c:v>SHARP</c:v>
                </c:pt>
                <c:pt idx="11">
                  <c:v>IHRD</c:v>
                </c:pt>
                <c:pt idx="12">
                  <c:v>AMHI</c:v>
                </c:pt>
                <c:pt idx="13">
                  <c:v>IPCI</c:v>
                </c:pt>
                <c:pt idx="14">
                  <c:v>HEALTH MEDIA</c:v>
                </c:pt>
                <c:pt idx="15">
                  <c:v>PHP</c:v>
                </c:pt>
              </c:strCache>
            </c:strRef>
          </c:cat>
          <c:val>
            <c:numRef>
              <c:f>'Base data'!$B$104:$B$119</c:f>
              <c:numCache>
                <c:formatCode>#,##0</c:formatCode>
                <c:ptCount val="16"/>
                <c:pt idx="0">
                  <c:v>1158000</c:v>
                </c:pt>
                <c:pt idx="1">
                  <c:v>446027</c:v>
                </c:pt>
                <c:pt idx="2">
                  <c:v>75000</c:v>
                </c:pt>
                <c:pt idx="3">
                  <c:v>41800</c:v>
                </c:pt>
                <c:pt idx="4">
                  <c:v>327010</c:v>
                </c:pt>
                <c:pt idx="5">
                  <c:v>200000</c:v>
                </c:pt>
                <c:pt idx="6">
                  <c:v>10000</c:v>
                </c:pt>
                <c:pt idx="7">
                  <c:v>10000</c:v>
                </c:pt>
                <c:pt idx="8">
                  <c:v>240000</c:v>
                </c:pt>
                <c:pt idx="9">
                  <c:v>466000</c:v>
                </c:pt>
                <c:pt idx="10">
                  <c:v>285000</c:v>
                </c:pt>
                <c:pt idx="11">
                  <c:v>187500</c:v>
                </c:pt>
                <c:pt idx="12">
                  <c:v>273375</c:v>
                </c:pt>
                <c:pt idx="13">
                  <c:v>15000</c:v>
                </c:pt>
                <c:pt idx="14">
                  <c:v>65000</c:v>
                </c:pt>
                <c:pt idx="15">
                  <c:v>67000</c:v>
                </c:pt>
              </c:numCache>
            </c:numRef>
          </c:val>
        </c:ser>
        <c:dLbls>
          <c:showLegendKey val="0"/>
          <c:showVal val="1"/>
          <c:showCatName val="0"/>
          <c:showSerName val="0"/>
          <c:showPercent val="0"/>
          <c:showBubbleSize val="0"/>
        </c:dLbls>
        <c:gapWidth val="150"/>
        <c:shape val="cylinder"/>
        <c:axId val="174062976"/>
        <c:axId val="176593152"/>
        <c:axId val="0"/>
      </c:bar3DChart>
      <c:catAx>
        <c:axId val="174062976"/>
        <c:scaling>
          <c:orientation val="minMax"/>
        </c:scaling>
        <c:delete val="0"/>
        <c:axPos val="l"/>
        <c:majorTickMark val="none"/>
        <c:minorTickMark val="none"/>
        <c:tickLblPos val="nextTo"/>
        <c:crossAx val="176593152"/>
        <c:crosses val="autoZero"/>
        <c:auto val="1"/>
        <c:lblAlgn val="ctr"/>
        <c:lblOffset val="100"/>
        <c:noMultiLvlLbl val="0"/>
      </c:catAx>
      <c:valAx>
        <c:axId val="176593152"/>
        <c:scaling>
          <c:orientation val="minMax"/>
        </c:scaling>
        <c:delete val="1"/>
        <c:axPos val="b"/>
        <c:numFmt formatCode="#,##0" sourceLinked="1"/>
        <c:majorTickMark val="out"/>
        <c:minorTickMark val="none"/>
        <c:tickLblPos val="nextTo"/>
        <c:crossAx val="174062976"/>
        <c:crosses val="autoZero"/>
        <c:crossBetween val="between"/>
      </c:valAx>
      <c:spPr>
        <a:ln>
          <a:noFill/>
        </a:ln>
      </c:spPr>
    </c:plotArea>
    <c:plotVisOnly val="1"/>
    <c:dispBlanksAs val="gap"/>
    <c:showDLblsOverMax val="0"/>
  </c:chart>
  <c:spPr>
    <a:ln>
      <a:noFill/>
    </a:ln>
  </c:sp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cdr:x>
      <cdr:y>0.80825</cdr:y>
    </cdr:from>
    <cdr:to>
      <cdr:x>0.30756</cdr:x>
      <cdr:y>0.89329</cdr:y>
    </cdr:to>
    <cdr:sp macro="" textlink="">
      <cdr:nvSpPr>
        <cdr:cNvPr id="2" name="Text Box 1"/>
        <cdr:cNvSpPr txBox="1"/>
      </cdr:nvSpPr>
      <cdr:spPr>
        <a:xfrm xmlns:a="http://schemas.openxmlformats.org/drawingml/2006/main">
          <a:off x="0" y="2525134"/>
          <a:ext cx="1666874" cy="26569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1200" b="1"/>
            <a:t>TOTAL:</a:t>
          </a:r>
          <a:r>
            <a:rPr lang="en-US" sz="1200" b="1" baseline="0"/>
            <a:t> $18,134,590</a:t>
          </a:r>
          <a:endParaRPr lang="en-US" sz="1200" b="1"/>
        </a:p>
      </cdr:txBody>
    </cdr:sp>
  </cdr:relSizeAnchor>
</c:userShapes>
</file>

<file path=word/drawings/drawing2.xml><?xml version="1.0" encoding="utf-8"?>
<c:userShapes xmlns:c="http://schemas.openxmlformats.org/drawingml/2006/chart">
  <cdr:relSizeAnchor xmlns:cdr="http://schemas.openxmlformats.org/drawingml/2006/chartDrawing">
    <cdr:from>
      <cdr:x>0.17185</cdr:x>
      <cdr:y>0</cdr:y>
    </cdr:from>
    <cdr:to>
      <cdr:x>0.86837</cdr:x>
      <cdr:y>0.09786</cdr:y>
    </cdr:to>
    <cdr:sp macro="" textlink="">
      <cdr:nvSpPr>
        <cdr:cNvPr id="2" name="Text Box 1"/>
        <cdr:cNvSpPr txBox="1"/>
      </cdr:nvSpPr>
      <cdr:spPr>
        <a:xfrm xmlns:a="http://schemas.openxmlformats.org/drawingml/2006/main">
          <a:off x="1011586" y="0"/>
          <a:ext cx="4100031" cy="3048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1600" b="1" cap="none" spc="0">
              <a:ln w="952"/>
              <a:gradFill>
                <a:gsLst>
                  <a:gs pos="0">
                    <a:schemeClr val="accent6">
                      <a:shade val="20000"/>
                      <a:satMod val="200000"/>
                    </a:schemeClr>
                  </a:gs>
                  <a:gs pos="78000">
                    <a:schemeClr val="accent6">
                      <a:tint val="90000"/>
                      <a:shade val="89000"/>
                      <a:satMod val="220000"/>
                    </a:schemeClr>
                  </a:gs>
                  <a:gs pos="100000">
                    <a:schemeClr val="accent6">
                      <a:tint val="12000"/>
                      <a:satMod val="255000"/>
                    </a:schemeClr>
                  </a:gs>
                </a:gsLst>
                <a:lin ang="5400000"/>
              </a:gradFill>
              <a:effectLst>
                <a:innerShdw blurRad="69850" dist="43180" dir="5400000">
                  <a:srgbClr val="000000">
                    <a:alpha val="65000"/>
                  </a:srgbClr>
                </a:innerShdw>
              </a:effectLst>
            </a:rPr>
            <a:t>OSIEA's 2015 sources</a:t>
          </a:r>
          <a:r>
            <a:rPr lang="en-US" sz="1600" b="1" cap="none" spc="0" baseline="0">
              <a:ln w="952"/>
              <a:gradFill>
                <a:gsLst>
                  <a:gs pos="0">
                    <a:schemeClr val="accent6">
                      <a:shade val="20000"/>
                      <a:satMod val="200000"/>
                    </a:schemeClr>
                  </a:gs>
                  <a:gs pos="78000">
                    <a:schemeClr val="accent6">
                      <a:tint val="90000"/>
                      <a:shade val="89000"/>
                      <a:satMod val="220000"/>
                    </a:schemeClr>
                  </a:gs>
                  <a:gs pos="100000">
                    <a:schemeClr val="accent6">
                      <a:tint val="12000"/>
                      <a:satMod val="255000"/>
                    </a:schemeClr>
                  </a:gs>
                </a:gsLst>
                <a:lin ang="5400000"/>
              </a:gradFill>
              <a:effectLst>
                <a:innerShdw blurRad="69850" dist="43180" dir="5400000">
                  <a:srgbClr val="000000">
                    <a:alpha val="65000"/>
                  </a:srgbClr>
                </a:innerShdw>
              </a:effectLst>
            </a:rPr>
            <a:t> of funding</a:t>
          </a:r>
          <a:endParaRPr lang="en-US" sz="1600" b="1" cap="none" spc="0">
            <a:ln w="952"/>
            <a:gradFill>
              <a:gsLst>
                <a:gs pos="0">
                  <a:schemeClr val="accent6">
                    <a:shade val="20000"/>
                    <a:satMod val="200000"/>
                  </a:schemeClr>
                </a:gs>
                <a:gs pos="78000">
                  <a:schemeClr val="accent6">
                    <a:tint val="90000"/>
                    <a:shade val="89000"/>
                    <a:satMod val="220000"/>
                  </a:schemeClr>
                </a:gs>
                <a:gs pos="100000">
                  <a:schemeClr val="accent6">
                    <a:tint val="12000"/>
                    <a:satMod val="255000"/>
                  </a:schemeClr>
                </a:gs>
              </a:gsLst>
              <a:lin ang="5400000"/>
            </a:gradFill>
            <a:effectLst>
              <a:innerShdw blurRad="69850" dist="43180" dir="5400000">
                <a:srgbClr val="000000">
                  <a:alpha val="65000"/>
                </a:srgbClr>
              </a:innerShdw>
            </a:effectLst>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0.71949</cdr:x>
      <cdr:y>0.78895</cdr:y>
    </cdr:from>
    <cdr:to>
      <cdr:x>0.98732</cdr:x>
      <cdr:y>0.87744</cdr:y>
    </cdr:to>
    <cdr:sp macro="" textlink="">
      <cdr:nvSpPr>
        <cdr:cNvPr id="2" name="Text Box 1"/>
        <cdr:cNvSpPr txBox="1"/>
      </cdr:nvSpPr>
      <cdr:spPr>
        <a:xfrm xmlns:a="http://schemas.openxmlformats.org/drawingml/2006/main">
          <a:off x="4324350" y="2697790"/>
          <a:ext cx="1609725" cy="30258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1200" b="1"/>
            <a:t>TOTAL: $12,104,558</a:t>
          </a:r>
        </a:p>
      </cdr:txBody>
    </cdr:sp>
  </cdr:relSizeAnchor>
</c:userShapes>
</file>

<file path=word/drawings/drawing4.xml><?xml version="1.0" encoding="utf-8"?>
<c:userShapes xmlns:c="http://schemas.openxmlformats.org/drawingml/2006/chart">
  <cdr:relSizeAnchor xmlns:cdr="http://schemas.openxmlformats.org/drawingml/2006/chartDrawing">
    <cdr:from>
      <cdr:x>0</cdr:x>
      <cdr:y>0.93644</cdr:y>
    </cdr:from>
    <cdr:to>
      <cdr:x>0.23872</cdr:x>
      <cdr:y>1</cdr:y>
    </cdr:to>
    <cdr:sp macro="" textlink="">
      <cdr:nvSpPr>
        <cdr:cNvPr id="2" name="Text Box 1"/>
        <cdr:cNvSpPr txBox="1"/>
      </cdr:nvSpPr>
      <cdr:spPr>
        <a:xfrm xmlns:a="http://schemas.openxmlformats.org/drawingml/2006/main">
          <a:off x="0" y="4210047"/>
          <a:ext cx="1480249" cy="285753"/>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lgn="ctr"/>
          <a:r>
            <a:rPr lang="en-US" sz="1200" b="1"/>
            <a:t>TOTAL: $18,134,591</a:t>
          </a:r>
        </a:p>
      </cdr:txBody>
    </cdr:sp>
  </cdr:relSizeAnchor>
</c:userShapes>
</file>

<file path=word/drawings/drawing5.xml><?xml version="1.0" encoding="utf-8"?>
<c:userShapes xmlns:c="http://schemas.openxmlformats.org/drawingml/2006/chart">
  <cdr:relSizeAnchor xmlns:cdr="http://schemas.openxmlformats.org/drawingml/2006/chartDrawing">
    <cdr:from>
      <cdr:x>0.87832</cdr:x>
      <cdr:y>0.32292</cdr:y>
    </cdr:from>
    <cdr:to>
      <cdr:x>1</cdr:x>
      <cdr:y>0.54948</cdr:y>
    </cdr:to>
    <cdr:sp macro="" textlink="">
      <cdr:nvSpPr>
        <cdr:cNvPr id="2" name="Text Box 1"/>
        <cdr:cNvSpPr txBox="1"/>
      </cdr:nvSpPr>
      <cdr:spPr>
        <a:xfrm xmlns:a="http://schemas.openxmlformats.org/drawingml/2006/main">
          <a:off x="5981700" y="1181100"/>
          <a:ext cx="828675" cy="8286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     OSIEA</a:t>
          </a:r>
        </a:p>
        <a:p xmlns:a="http://schemas.openxmlformats.org/drawingml/2006/main">
          <a:endParaRPr lang="en-US" sz="1100"/>
        </a:p>
        <a:p xmlns:a="http://schemas.openxmlformats.org/drawingml/2006/main">
          <a:r>
            <a:rPr lang="en-US" sz="1100"/>
            <a:t>     NWP</a:t>
          </a:r>
        </a:p>
      </cdr:txBody>
    </cdr:sp>
  </cdr:relSizeAnchor>
  <cdr:relSizeAnchor xmlns:cdr="http://schemas.openxmlformats.org/drawingml/2006/chartDrawing">
    <cdr:from>
      <cdr:x>0.88719</cdr:x>
      <cdr:y>0.34201</cdr:y>
    </cdr:from>
    <cdr:to>
      <cdr:x>0.90677</cdr:x>
      <cdr:y>0.37846</cdr:y>
    </cdr:to>
    <cdr:sp macro="" textlink="">
      <cdr:nvSpPr>
        <cdr:cNvPr id="3" name="Rectangle 2"/>
        <cdr:cNvSpPr/>
      </cdr:nvSpPr>
      <cdr:spPr>
        <a:xfrm xmlns:a="http://schemas.openxmlformats.org/drawingml/2006/main">
          <a:off x="6042080" y="1250922"/>
          <a:ext cx="133350" cy="133350"/>
        </a:xfrm>
        <a:prstGeom xmlns:a="http://schemas.openxmlformats.org/drawingml/2006/main" prst="rect">
          <a:avLst/>
        </a:prstGeom>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0.88579</cdr:x>
      <cdr:y>0.4349</cdr:y>
    </cdr:from>
    <cdr:to>
      <cdr:x>0.90537</cdr:x>
      <cdr:y>0.47135</cdr:y>
    </cdr:to>
    <cdr:sp macro="" textlink="">
      <cdr:nvSpPr>
        <cdr:cNvPr id="5" name="Rectangle 4"/>
        <cdr:cNvSpPr/>
      </cdr:nvSpPr>
      <cdr:spPr>
        <a:xfrm xmlns:a="http://schemas.openxmlformats.org/drawingml/2006/main">
          <a:off x="6032555" y="1590675"/>
          <a:ext cx="133350" cy="133350"/>
        </a:xfrm>
        <a:prstGeom xmlns:a="http://schemas.openxmlformats.org/drawingml/2006/main" prst="rect">
          <a:avLst/>
        </a:prstGeom>
        <a:solidFill xmlns:a="http://schemas.openxmlformats.org/drawingml/2006/main">
          <a:schemeClr val="accent2"/>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0.74359</cdr:x>
      <cdr:y>0.19399</cdr:y>
    </cdr:from>
    <cdr:to>
      <cdr:x>1</cdr:x>
      <cdr:y>0.28125</cdr:y>
    </cdr:to>
    <cdr:sp macro="" textlink="">
      <cdr:nvSpPr>
        <cdr:cNvPr id="6" name="Text Box 5"/>
        <cdr:cNvSpPr txBox="1"/>
      </cdr:nvSpPr>
      <cdr:spPr>
        <a:xfrm xmlns:a="http://schemas.openxmlformats.org/drawingml/2006/main">
          <a:off x="4419600" y="619125"/>
          <a:ext cx="1524000" cy="27848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r"/>
          <a:r>
            <a:rPr lang="en-US" sz="1200" b="1"/>
            <a:t>TOTAL</a:t>
          </a:r>
          <a:r>
            <a:rPr lang="en-US" sz="1200" b="1" baseline="0"/>
            <a:t>: $11,182,377</a:t>
          </a:r>
          <a:endParaRPr lang="en-US" sz="1200" b="1"/>
        </a:p>
      </cdr:txBody>
    </cdr:sp>
  </cdr:relSizeAnchor>
</c:userShapes>
</file>

<file path=word/drawings/drawing6.xml><?xml version="1.0" encoding="utf-8"?>
<c:userShapes xmlns:c="http://schemas.openxmlformats.org/drawingml/2006/chart">
  <cdr:relSizeAnchor xmlns:cdr="http://schemas.openxmlformats.org/drawingml/2006/chartDrawing">
    <cdr:from>
      <cdr:x>0</cdr:x>
      <cdr:y>0.89465</cdr:y>
    </cdr:from>
    <cdr:to>
      <cdr:x>0.25481</cdr:x>
      <cdr:y>0.97908</cdr:y>
    </cdr:to>
    <cdr:sp macro="" textlink="">
      <cdr:nvSpPr>
        <cdr:cNvPr id="2" name="Text Box 1"/>
        <cdr:cNvSpPr txBox="1"/>
      </cdr:nvSpPr>
      <cdr:spPr>
        <a:xfrm xmlns:a="http://schemas.openxmlformats.org/drawingml/2006/main">
          <a:off x="-914400" y="3468270"/>
          <a:ext cx="1514474" cy="32730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1200" b="1"/>
            <a:t>TOTAL:</a:t>
          </a:r>
          <a:r>
            <a:rPr lang="en-US" sz="1200" b="1" baseline="0"/>
            <a:t> $11,182,377</a:t>
          </a:r>
          <a:endParaRPr lang="en-US" sz="1200" b="1"/>
        </a:p>
      </cdr:txBody>
    </cdr:sp>
  </cdr:relSizeAnchor>
</c:userShapes>
</file>

<file path=word/drawings/drawing7.xml><?xml version="1.0" encoding="utf-8"?>
<c:userShapes xmlns:c="http://schemas.openxmlformats.org/drawingml/2006/chart">
  <cdr:relSizeAnchor xmlns:cdr="http://schemas.openxmlformats.org/drawingml/2006/chartDrawing">
    <cdr:from>
      <cdr:x>0.67743</cdr:x>
      <cdr:y>0.77738</cdr:y>
    </cdr:from>
    <cdr:to>
      <cdr:x>0.89092</cdr:x>
      <cdr:y>0.866</cdr:y>
    </cdr:to>
    <cdr:sp macro="" textlink="">
      <cdr:nvSpPr>
        <cdr:cNvPr id="2" name="Text Box 1"/>
        <cdr:cNvSpPr txBox="1"/>
      </cdr:nvSpPr>
      <cdr:spPr>
        <a:xfrm xmlns:a="http://schemas.openxmlformats.org/drawingml/2006/main">
          <a:off x="4594225" y="2984039"/>
          <a:ext cx="1447799" cy="340186"/>
        </a:xfrm>
        <a:prstGeom xmlns:a="http://schemas.openxmlformats.org/drawingml/2006/main" prst="rect">
          <a:avLst/>
        </a:prstGeom>
      </cdr:spPr>
    </cdr:sp>
  </cdr:relSizeAnchor>
  <cdr:relSizeAnchor xmlns:cdr="http://schemas.openxmlformats.org/drawingml/2006/chartDrawing">
    <cdr:from>
      <cdr:x>0.65309</cdr:x>
      <cdr:y>0.74938</cdr:y>
    </cdr:from>
    <cdr:to>
      <cdr:x>0.89185</cdr:x>
      <cdr:y>0.83871</cdr:y>
    </cdr:to>
    <cdr:sp macro="" textlink="">
      <cdr:nvSpPr>
        <cdr:cNvPr id="3" name="Text Box 2"/>
        <cdr:cNvSpPr txBox="1"/>
      </cdr:nvSpPr>
      <cdr:spPr>
        <a:xfrm xmlns:a="http://schemas.openxmlformats.org/drawingml/2006/main">
          <a:off x="4429125" y="2876550"/>
          <a:ext cx="1619250" cy="3429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en-US" sz="1200" b="1"/>
            <a:t>TOTAL:</a:t>
          </a:r>
          <a:r>
            <a:rPr lang="en-US" sz="1200" b="1" baseline="0"/>
            <a:t> $11,182,377</a:t>
          </a:r>
          <a:endParaRPr lang="en-US" sz="1200" b="1"/>
        </a:p>
      </cdr:txBody>
    </cdr:sp>
  </cdr:relSizeAnchor>
</c:userShapes>
</file>

<file path=word/drawings/drawing8.xml><?xml version="1.0" encoding="utf-8"?>
<c:userShapes xmlns:c="http://schemas.openxmlformats.org/drawingml/2006/chart">
  <cdr:relSizeAnchor xmlns:cdr="http://schemas.openxmlformats.org/drawingml/2006/chartDrawing">
    <cdr:from>
      <cdr:x>0.78315</cdr:x>
      <cdr:y>0.58692</cdr:y>
    </cdr:from>
    <cdr:to>
      <cdr:x>1</cdr:x>
      <cdr:y>0.63925</cdr:y>
    </cdr:to>
    <cdr:sp macro="" textlink="">
      <cdr:nvSpPr>
        <cdr:cNvPr id="2" name="Text Box 1"/>
        <cdr:cNvSpPr txBox="1"/>
      </cdr:nvSpPr>
      <cdr:spPr>
        <a:xfrm xmlns:a="http://schemas.openxmlformats.org/drawingml/2006/main">
          <a:off x="5400675" y="2990850"/>
          <a:ext cx="1495425" cy="2667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1200" b="1"/>
            <a:t>TOTAL:</a:t>
          </a:r>
          <a:r>
            <a:rPr lang="en-US" sz="1200" b="1" baseline="0"/>
            <a:t> 3,866,712</a:t>
          </a:r>
          <a:endParaRPr lang="en-US" sz="1200" b="1"/>
        </a:p>
      </cdr:txBody>
    </cdr:sp>
  </cdr:relSizeAnchor>
</c:userShapes>
</file>

<file path=word/theme/theme1.xml><?xml version="1.0" encoding="utf-8"?>
<a:theme xmlns:a="http://schemas.openxmlformats.org/drawingml/2006/main" name="Office Theme">
  <a:themeElements>
    <a:clrScheme name="NewsPrint">
      <a:dk1>
        <a:sysClr val="windowText" lastClr="000000"/>
      </a:dk1>
      <a:lt1>
        <a:sysClr val="window" lastClr="FFFFFF"/>
      </a:lt1>
      <a:dk2>
        <a:srgbClr val="303030"/>
      </a:dk2>
      <a:lt2>
        <a:srgbClr val="DEDEE0"/>
      </a:lt2>
      <a:accent1>
        <a:srgbClr val="AD0101"/>
      </a:accent1>
      <a:accent2>
        <a:srgbClr val="726056"/>
      </a:accent2>
      <a:accent3>
        <a:srgbClr val="AC956E"/>
      </a:accent3>
      <a:accent4>
        <a:srgbClr val="808DA9"/>
      </a:accent4>
      <a:accent5>
        <a:srgbClr val="424E5B"/>
      </a:accent5>
      <a:accent6>
        <a:srgbClr val="730E00"/>
      </a:accent6>
      <a:hlink>
        <a:srgbClr val="D26900"/>
      </a:hlink>
      <a:folHlink>
        <a:srgbClr val="D8924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27659-BEA0-4A8B-A969-2F391C241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592</TotalTime>
  <Pages>34</Pages>
  <Words>12802</Words>
  <Characters>72972</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Annual Progress Report 2015</vt:lpstr>
    </vt:vector>
  </TitlesOfParts>
  <Company/>
  <LinksUpToDate>false</LinksUpToDate>
  <CharactersWithSpaces>85603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Progress Report 2015</dc:title>
  <dc:subject>Progress review: Making a difference</dc:subject>
  <dc:creator>Magdalene Kioko</dc:creator>
  <cp:lastModifiedBy>Karen  Mwaniki-Wanyoike</cp:lastModifiedBy>
  <cp:revision>13</cp:revision>
  <cp:lastPrinted>2016-04-07T07:50:00Z</cp:lastPrinted>
  <dcterms:created xsi:type="dcterms:W3CDTF">2016-04-01T11:44:00Z</dcterms:created>
  <dcterms:modified xsi:type="dcterms:W3CDTF">2016-04-07T07:59:00Z</dcterms:modified>
</cp:coreProperties>
</file>